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401F" w14:textId="54C6C996" w:rsidR="00A5715D" w:rsidRPr="007858DC" w:rsidRDefault="007858DC" w:rsidP="007858DC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7858DC">
        <w:rPr>
          <w:rFonts w:ascii="標楷體" w:eastAsia="標楷體" w:hAnsi="標楷體" w:hint="eastAsia"/>
          <w:b/>
          <w:bCs/>
          <w:sz w:val="28"/>
          <w:szCs w:val="24"/>
        </w:rPr>
        <w:t>藥事法第102條第2項「醫療急迫情形」適用範圍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7858DC" w:rsidRPr="007858DC" w14:paraId="5A150E21" w14:textId="77777777" w:rsidTr="003E2917">
        <w:tc>
          <w:tcPr>
            <w:tcW w:w="3114" w:type="dxa"/>
            <w:shd w:val="clear" w:color="auto" w:fill="D9D9D9" w:themeFill="background1" w:themeFillShade="D9"/>
          </w:tcPr>
          <w:p w14:paraId="5C12DC1D" w14:textId="3A0DC092" w:rsidR="007858DC" w:rsidRPr="007858DC" w:rsidRDefault="007858DC" w:rsidP="007858DC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7858D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醫師公會全聯會建議</w:t>
            </w:r>
          </w:p>
        </w:tc>
        <w:tc>
          <w:tcPr>
            <w:tcW w:w="5182" w:type="dxa"/>
            <w:shd w:val="clear" w:color="auto" w:fill="D9D9D9" w:themeFill="background1" w:themeFillShade="D9"/>
          </w:tcPr>
          <w:p w14:paraId="5A932591" w14:textId="30AD5B4B" w:rsidR="007858DC" w:rsidRPr="007858DC" w:rsidRDefault="007858DC" w:rsidP="007858DC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7858D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說明</w:t>
            </w:r>
          </w:p>
        </w:tc>
      </w:tr>
      <w:tr w:rsidR="007858DC" w:rsidRPr="007858DC" w14:paraId="3BF97E7F" w14:textId="77777777" w:rsidTr="00BD75E3">
        <w:trPr>
          <w:trHeight w:val="1692"/>
        </w:trPr>
        <w:tc>
          <w:tcPr>
            <w:tcW w:w="3114" w:type="dxa"/>
          </w:tcPr>
          <w:p w14:paraId="74CBFBC0" w14:textId="252BBBD1" w:rsidR="007858DC" w:rsidRPr="007858DC" w:rsidRDefault="007858DC" w:rsidP="007858DC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7858DC">
              <w:rPr>
                <w:rFonts w:ascii="標楷體" w:eastAsia="標楷體" w:hAnsi="標楷體" w:hint="eastAsia"/>
                <w:sz w:val="28"/>
                <w:szCs w:val="24"/>
              </w:rPr>
              <w:t>「醫療急迫情形」適用範圍應包括醫療專業判斷、或病人自主認知、或客觀環境因素或藥師本身因素，以致病人於其可取得藥師調劑藥品服務前，仍需接續服用藥品以避免危害其生命身體健康者，醫師得親自調劑給</w:t>
            </w:r>
            <w:bookmarkStart w:id="0" w:name="_GoBack"/>
            <w:bookmarkEnd w:id="0"/>
            <w:r w:rsidRPr="007858DC">
              <w:rPr>
                <w:rFonts w:ascii="標楷體" w:eastAsia="標楷體" w:hAnsi="標楷體" w:hint="eastAsia"/>
                <w:sz w:val="28"/>
                <w:szCs w:val="24"/>
              </w:rPr>
              <w:t>予藥品。</w:t>
            </w:r>
          </w:p>
        </w:tc>
        <w:tc>
          <w:tcPr>
            <w:tcW w:w="5182" w:type="dxa"/>
          </w:tcPr>
          <w:p w14:paraId="7C7585B7" w14:textId="1C89C063" w:rsidR="007858DC" w:rsidRDefault="006E239D" w:rsidP="00BA1B3E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703" w:hanging="703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基於醫師診察治療專業，適用範圍首應尊重醫師臨床專業裁量</w:t>
            </w:r>
            <w:r w:rsidR="009732BF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 w:rsidR="004F3CAD">
              <w:rPr>
                <w:rFonts w:ascii="標楷體" w:eastAsia="標楷體" w:hAnsi="標楷體" w:hint="eastAsia"/>
                <w:sz w:val="28"/>
                <w:szCs w:val="24"/>
              </w:rPr>
              <w:t>綜合</w:t>
            </w:r>
            <w:r w:rsidR="009732BF">
              <w:rPr>
                <w:rFonts w:ascii="標楷體" w:eastAsia="標楷體" w:hAnsi="標楷體" w:hint="eastAsia"/>
                <w:sz w:val="28"/>
                <w:szCs w:val="24"/>
              </w:rPr>
              <w:t>病人健康、治療需求、公共衛生、感染防疫等面向判斷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3B079973" w14:textId="07208D54" w:rsidR="006E239D" w:rsidRDefault="00A262FB" w:rsidP="00BA1B3E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703" w:hanging="703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落實健康權保障，</w:t>
            </w:r>
            <w:r w:rsidR="004E241B">
              <w:rPr>
                <w:rFonts w:ascii="標楷體" w:eastAsia="標楷體" w:hAnsi="標楷體" w:hint="eastAsia"/>
                <w:sz w:val="28"/>
                <w:szCs w:val="24"/>
              </w:rPr>
              <w:t>回歸以病人中心的價值思考，納入病人自主認</w:t>
            </w:r>
            <w:r w:rsidR="003E2917">
              <w:rPr>
                <w:rFonts w:ascii="標楷體" w:eastAsia="標楷體" w:hAnsi="標楷體" w:hint="eastAsia"/>
                <w:sz w:val="28"/>
                <w:szCs w:val="24"/>
              </w:rPr>
              <w:t>知</w:t>
            </w:r>
            <w:r w:rsidR="00622C6F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 w:rsidR="00622C6F" w:rsidRPr="00622C6F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例如病人或家屬自認其</w:t>
            </w:r>
            <w:r w:rsidR="003E2917" w:rsidRPr="00622C6F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病情急迫或出於其他理由</w:t>
            </w:r>
            <w:r w:rsidR="00BD75E3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認定無暇或不便取得藥師調劑藥品服務</w:t>
            </w:r>
            <w:r w:rsidR="00622C6F" w:rsidRPr="00622C6F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，</w:t>
            </w:r>
            <w:r w:rsidR="003E2917" w:rsidRPr="00622C6F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請求醫師</w:t>
            </w:r>
            <w:r w:rsidR="00BD75E3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親自調劑</w:t>
            </w:r>
            <w:r w:rsidR="00622C6F" w:rsidRPr="00622C6F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之情形</w:t>
            </w:r>
            <w:r w:rsidR="004E241B" w:rsidRPr="00622C6F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。</w:t>
            </w:r>
          </w:p>
          <w:p w14:paraId="722C3A0A" w14:textId="7998F6E9" w:rsidR="004E241B" w:rsidRDefault="004E241B" w:rsidP="00BA1B3E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703" w:hanging="703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醫療急迫</w:t>
            </w:r>
            <w:r w:rsidR="004F3CAD">
              <w:rPr>
                <w:rFonts w:ascii="標楷體" w:eastAsia="標楷體" w:hAnsi="標楷體" w:hint="eastAsia"/>
                <w:sz w:val="28"/>
                <w:szCs w:val="24"/>
              </w:rPr>
              <w:t>同時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體現於客觀環境無</w:t>
            </w:r>
            <w:r w:rsidR="005D56B1">
              <w:rPr>
                <w:rFonts w:ascii="標楷體" w:eastAsia="標楷體" w:hAnsi="標楷體" w:hint="eastAsia"/>
                <w:sz w:val="28"/>
                <w:szCs w:val="24"/>
              </w:rPr>
              <w:t>法及時提供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病人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所需藥事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資源時，如飛機、船舶、</w:t>
            </w:r>
            <w:r w:rsidR="005D56B1">
              <w:rPr>
                <w:rFonts w:ascii="標楷體" w:eastAsia="標楷體" w:hAnsi="標楷體" w:hint="eastAsia"/>
                <w:sz w:val="28"/>
                <w:szCs w:val="24"/>
              </w:rPr>
              <w:t>高山、或</w:t>
            </w:r>
            <w:r w:rsidR="009732BF">
              <w:rPr>
                <w:rFonts w:ascii="標楷體" w:eastAsia="標楷體" w:hAnsi="標楷體" w:hint="eastAsia"/>
                <w:sz w:val="28"/>
                <w:szCs w:val="24"/>
              </w:rPr>
              <w:t>所在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社區藥局未營業或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未備藥</w:t>
            </w:r>
            <w:r w:rsidR="00052010">
              <w:rPr>
                <w:rFonts w:ascii="標楷體" w:eastAsia="標楷體" w:hAnsi="標楷體" w:hint="eastAsia"/>
                <w:sz w:val="28"/>
                <w:szCs w:val="24"/>
              </w:rPr>
              <w:t>等</w:t>
            </w:r>
            <w:proofErr w:type="gramEnd"/>
            <w:r w:rsidR="00052010" w:rsidRPr="0005201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病人持處方箋至藥局仍無法即時取得藥物，但需接續服用藥物</w:t>
            </w:r>
            <w:r w:rsidR="0005201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之情形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1FAAE17B" w14:textId="77777777" w:rsidR="009732BF" w:rsidRDefault="00A262FB" w:rsidP="00BA1B3E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703" w:hanging="703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診所藥師</w:t>
            </w:r>
            <w:r w:rsidR="00052010" w:rsidRPr="0005201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假日休假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="00052010">
              <w:rPr>
                <w:rFonts w:ascii="標楷體" w:eastAsia="標楷體" w:hAnsi="標楷體" w:hint="eastAsia"/>
                <w:sz w:val="28"/>
                <w:szCs w:val="24"/>
              </w:rPr>
              <w:t>請假、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下班</w:t>
            </w:r>
            <w:r w:rsidR="00052010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="00052010" w:rsidRPr="0005201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惡意曠職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等個人因素</w:t>
            </w:r>
            <w:r w:rsidR="00052010" w:rsidRPr="0005201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無法提供服務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 w:rsidR="005D56B1">
              <w:rPr>
                <w:rFonts w:ascii="標楷體" w:eastAsia="標楷體" w:hAnsi="標楷體" w:hint="eastAsia"/>
                <w:sz w:val="28"/>
                <w:szCs w:val="24"/>
              </w:rPr>
              <w:t>為維護病人健康權益，亦屬醫療急迫。</w:t>
            </w:r>
          </w:p>
          <w:p w14:paraId="1288C707" w14:textId="77777777" w:rsidR="00052010" w:rsidRPr="003E2917" w:rsidRDefault="00052010" w:rsidP="00BA1B3E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703" w:hanging="703"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3E291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建議可參考如日本醫師法第22條規定，認定醫療急迫可親自調劑之範圍：</w:t>
            </w:r>
          </w:p>
          <w:p w14:paraId="7912279A" w14:textId="77777777" w:rsidR="00052010" w:rsidRPr="003E2917" w:rsidRDefault="00052010" w:rsidP="003E291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703" w:hanging="284"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3E291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期望有安慰劑效果時，而給予</w:t>
            </w:r>
            <w:proofErr w:type="gramStart"/>
            <w:r w:rsidRPr="003E291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處方箋將妨礙</w:t>
            </w:r>
            <w:proofErr w:type="gramEnd"/>
            <w:r w:rsidRPr="003E291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該目的之達成；</w:t>
            </w:r>
          </w:p>
          <w:p w14:paraId="1F8AA4B7" w14:textId="77777777" w:rsidR="00052010" w:rsidRPr="003E2917" w:rsidRDefault="00052010" w:rsidP="003E291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703" w:hanging="284"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3E291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給予</w:t>
            </w:r>
            <w:proofErr w:type="gramStart"/>
            <w:r w:rsidRPr="003E291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處方箋將導致</w:t>
            </w:r>
            <w:proofErr w:type="gramEnd"/>
            <w:r w:rsidRPr="003E291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病患對診療或疾病後續產生焦慮不安、造成疾病治療的困難。</w:t>
            </w:r>
          </w:p>
          <w:p w14:paraId="2CCB62F6" w14:textId="77777777" w:rsidR="00052010" w:rsidRPr="003E2917" w:rsidRDefault="00052010" w:rsidP="003E291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703" w:hanging="284"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3E291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為了因應病情短時間內變化，必須即刻投藥；</w:t>
            </w:r>
          </w:p>
          <w:p w14:paraId="49F990D6" w14:textId="77777777" w:rsidR="00052010" w:rsidRPr="003E2917" w:rsidRDefault="00052010" w:rsidP="003E291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703" w:hanging="284"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3E291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尚未確定診斷或治療方針時；</w:t>
            </w:r>
          </w:p>
          <w:p w14:paraId="55809842" w14:textId="77777777" w:rsidR="00052010" w:rsidRPr="003E2917" w:rsidRDefault="00052010" w:rsidP="003E291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703" w:hanging="284"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3E291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作為治療上的緊急措施；</w:t>
            </w:r>
          </w:p>
          <w:p w14:paraId="366907B3" w14:textId="77777777" w:rsidR="00052010" w:rsidRPr="003E2917" w:rsidRDefault="00052010" w:rsidP="003E291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703" w:hanging="284"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3E291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lastRenderedPageBreak/>
              <w:t>現場只有患者能交付藥品，但患者極需休息；</w:t>
            </w:r>
          </w:p>
          <w:p w14:paraId="128DAB1A" w14:textId="77777777" w:rsidR="00052010" w:rsidRPr="003E2917" w:rsidRDefault="00052010" w:rsidP="003E291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703" w:hanging="284"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3E291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給予興奮劑的情況；</w:t>
            </w:r>
          </w:p>
          <w:p w14:paraId="5085E6F1" w14:textId="731F4B03" w:rsidR="00052010" w:rsidRPr="00052010" w:rsidRDefault="00052010" w:rsidP="003E291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703" w:hanging="284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3E291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藥劑師沒有在船舶上的給藥。</w:t>
            </w:r>
          </w:p>
        </w:tc>
      </w:tr>
    </w:tbl>
    <w:p w14:paraId="23F2EC74" w14:textId="77777777" w:rsidR="007858DC" w:rsidRDefault="007858DC" w:rsidP="003E2917">
      <w:pPr>
        <w:rPr>
          <w:rFonts w:hint="eastAsia"/>
        </w:rPr>
      </w:pPr>
    </w:p>
    <w:sectPr w:rsidR="007858DC" w:rsidSect="007858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1769F" w14:textId="77777777" w:rsidR="00520AF7" w:rsidRDefault="00520AF7" w:rsidP="00052010">
      <w:r>
        <w:separator/>
      </w:r>
    </w:p>
  </w:endnote>
  <w:endnote w:type="continuationSeparator" w:id="0">
    <w:p w14:paraId="6DCAE310" w14:textId="77777777" w:rsidR="00520AF7" w:rsidRDefault="00520AF7" w:rsidP="0005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D9541" w14:textId="77777777" w:rsidR="00520AF7" w:rsidRDefault="00520AF7" w:rsidP="00052010">
      <w:r>
        <w:separator/>
      </w:r>
    </w:p>
  </w:footnote>
  <w:footnote w:type="continuationSeparator" w:id="0">
    <w:p w14:paraId="7EEA49F1" w14:textId="77777777" w:rsidR="00520AF7" w:rsidRDefault="00520AF7" w:rsidP="0005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A1C88"/>
    <w:multiLevelType w:val="hybridMultilevel"/>
    <w:tmpl w:val="2444B26C"/>
    <w:lvl w:ilvl="0" w:tplc="FD58A374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9100470"/>
    <w:multiLevelType w:val="hybridMultilevel"/>
    <w:tmpl w:val="0DB414DE"/>
    <w:lvl w:ilvl="0" w:tplc="E4A4FC30">
      <w:start w:val="1"/>
      <w:numFmt w:val="decimal"/>
      <w:lvlText w:val="%1."/>
      <w:lvlJc w:val="left"/>
      <w:pPr>
        <w:ind w:left="96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8CF1355"/>
    <w:multiLevelType w:val="hybridMultilevel"/>
    <w:tmpl w:val="995A7722"/>
    <w:lvl w:ilvl="0" w:tplc="C53281E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DC"/>
    <w:rsid w:val="00052010"/>
    <w:rsid w:val="003E2917"/>
    <w:rsid w:val="004E241B"/>
    <w:rsid w:val="004F392B"/>
    <w:rsid w:val="004F3CAD"/>
    <w:rsid w:val="00520AF7"/>
    <w:rsid w:val="005D56B1"/>
    <w:rsid w:val="00622C6F"/>
    <w:rsid w:val="006E239D"/>
    <w:rsid w:val="007858DC"/>
    <w:rsid w:val="00937EEF"/>
    <w:rsid w:val="009732BF"/>
    <w:rsid w:val="00A262FB"/>
    <w:rsid w:val="00A5715D"/>
    <w:rsid w:val="00BA1B3E"/>
    <w:rsid w:val="00BD75E3"/>
    <w:rsid w:val="00CF3D38"/>
    <w:rsid w:val="00F4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09AA2"/>
  <w15:chartTrackingRefBased/>
  <w15:docId w15:val="{15E75452-CE8D-495E-82A6-E2948DAC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8D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2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20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2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201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2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perle@tma.tw</dc:creator>
  <cp:keywords/>
  <dc:description/>
  <cp:lastModifiedBy>perle@tma.tw</cp:lastModifiedBy>
  <cp:revision>3</cp:revision>
  <cp:lastPrinted>2020-02-14T07:59:00Z</cp:lastPrinted>
  <dcterms:created xsi:type="dcterms:W3CDTF">2020-02-14T02:17:00Z</dcterms:created>
  <dcterms:modified xsi:type="dcterms:W3CDTF">2020-02-14T08:26:00Z</dcterms:modified>
</cp:coreProperties>
</file>