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8C52" w14:textId="508A3D0C" w:rsidR="00891694" w:rsidRPr="00795829" w:rsidRDefault="00795829" w:rsidP="00795829">
      <w:pPr>
        <w:tabs>
          <w:tab w:val="left" w:pos="567"/>
        </w:tabs>
        <w:spacing w:line="500" w:lineRule="exact"/>
        <w:ind w:leftChars="-354" w:left="-28" w:rightChars="-260" w:right="-624" w:hangingChars="228" w:hanging="822"/>
        <w:jc w:val="center"/>
        <w:rPr>
          <w:rFonts w:ascii="標楷體" w:eastAsia="標楷體" w:hAnsi="標楷體"/>
          <w:b/>
          <w:bCs/>
          <w:sz w:val="36"/>
          <w:szCs w:val="32"/>
        </w:rPr>
      </w:pPr>
      <w:r w:rsidRPr="00795829">
        <w:rPr>
          <w:rFonts w:ascii="標楷體" w:eastAsia="標楷體" w:hAnsi="標楷體" w:hint="eastAsia"/>
          <w:b/>
          <w:bCs/>
          <w:sz w:val="36"/>
          <w:szCs w:val="32"/>
        </w:rPr>
        <w:t>「</w:t>
      </w:r>
      <w:r w:rsidR="001E3632" w:rsidRPr="00795829">
        <w:rPr>
          <w:rFonts w:ascii="標楷體" w:eastAsia="標楷體" w:hAnsi="標楷體" w:hint="eastAsia"/>
          <w:b/>
          <w:bCs/>
          <w:sz w:val="36"/>
          <w:szCs w:val="32"/>
        </w:rPr>
        <w:t>長照繼續教育課程認定及積</w:t>
      </w:r>
      <w:r w:rsidR="001E3632" w:rsidRPr="00795829">
        <w:rPr>
          <w:rFonts w:ascii="標楷體" w:eastAsia="標楷體" w:hAnsi="標楷體"/>
          <w:b/>
          <w:bCs/>
          <w:sz w:val="36"/>
          <w:szCs w:val="32"/>
        </w:rPr>
        <w:t>分</w:t>
      </w:r>
      <w:proofErr w:type="gramStart"/>
      <w:r w:rsidR="001E3632" w:rsidRPr="00795829">
        <w:rPr>
          <w:rFonts w:ascii="標楷體" w:eastAsia="標楷體" w:hAnsi="標楷體" w:hint="eastAsia"/>
          <w:b/>
          <w:bCs/>
          <w:sz w:val="36"/>
          <w:szCs w:val="32"/>
        </w:rPr>
        <w:t>採</w:t>
      </w:r>
      <w:proofErr w:type="gramEnd"/>
      <w:r w:rsidR="001E3632" w:rsidRPr="00795829">
        <w:rPr>
          <w:rFonts w:ascii="標楷體" w:eastAsia="標楷體" w:hAnsi="標楷體" w:hint="eastAsia"/>
          <w:b/>
          <w:bCs/>
          <w:sz w:val="36"/>
          <w:szCs w:val="32"/>
        </w:rPr>
        <w:t>認品質管理</w:t>
      </w:r>
      <w:r w:rsidRPr="00795829">
        <w:rPr>
          <w:rFonts w:ascii="標楷體" w:eastAsia="標楷體" w:hAnsi="標楷體" w:hint="eastAsia"/>
          <w:b/>
          <w:bCs/>
          <w:sz w:val="36"/>
          <w:szCs w:val="32"/>
        </w:rPr>
        <w:t>檢核表」</w:t>
      </w:r>
      <w:r w:rsidR="001E3632" w:rsidRPr="00795829">
        <w:rPr>
          <w:rFonts w:ascii="標楷體" w:eastAsia="標楷體" w:hAnsi="標楷體" w:hint="eastAsia"/>
          <w:b/>
          <w:bCs/>
          <w:sz w:val="36"/>
          <w:szCs w:val="32"/>
        </w:rPr>
        <w:t>之意見</w:t>
      </w:r>
    </w:p>
    <w:p w14:paraId="3CD03F18" w14:textId="6E5ADE22" w:rsidR="001E3632" w:rsidRPr="00F4523B" w:rsidRDefault="00795829" w:rsidP="00F4523B">
      <w:pPr>
        <w:tabs>
          <w:tab w:val="left" w:pos="567"/>
        </w:tabs>
        <w:spacing w:line="500" w:lineRule="exact"/>
        <w:ind w:rightChars="-82" w:right="-197"/>
        <w:jc w:val="right"/>
        <w:rPr>
          <w:rFonts w:ascii="標楷體" w:eastAsia="標楷體" w:hAnsi="標楷體"/>
          <w:b/>
          <w:bCs/>
          <w:sz w:val="28"/>
          <w:szCs w:val="24"/>
        </w:rPr>
      </w:pPr>
      <w:r>
        <w:rPr>
          <w:rFonts w:ascii="標楷體" w:eastAsia="標楷體" w:hAnsi="標楷體" w:hint="eastAsia"/>
          <w:b/>
          <w:bCs/>
          <w:sz w:val="28"/>
          <w:szCs w:val="24"/>
        </w:rPr>
        <w:t>建議</w:t>
      </w:r>
      <w:r w:rsidR="001E3632" w:rsidRPr="00F4523B">
        <w:rPr>
          <w:rFonts w:ascii="標楷體" w:eastAsia="標楷體" w:hAnsi="標楷體" w:hint="eastAsia"/>
          <w:b/>
          <w:bCs/>
          <w:sz w:val="28"/>
          <w:szCs w:val="24"/>
        </w:rPr>
        <w:t>單位:中華民國醫師公會全國聯合會</w:t>
      </w:r>
    </w:p>
    <w:tbl>
      <w:tblPr>
        <w:tblStyle w:val="a4"/>
        <w:tblW w:w="8647" w:type="dxa"/>
        <w:tblInd w:w="-5" w:type="dxa"/>
        <w:tblLook w:val="04A0" w:firstRow="1" w:lastRow="0" w:firstColumn="1" w:lastColumn="0" w:noHBand="0" w:noVBand="1"/>
      </w:tblPr>
      <w:tblGrid>
        <w:gridCol w:w="8647"/>
      </w:tblGrid>
      <w:tr w:rsidR="001E3632" w:rsidRPr="002A604E" w14:paraId="465D0540" w14:textId="77777777" w:rsidTr="001E3632">
        <w:trPr>
          <w:tblHeader/>
        </w:trPr>
        <w:tc>
          <w:tcPr>
            <w:tcW w:w="8647" w:type="dxa"/>
            <w:tcBorders>
              <w:bottom w:val="double" w:sz="4" w:space="0" w:color="auto"/>
            </w:tcBorders>
          </w:tcPr>
          <w:p w14:paraId="47C75D8F" w14:textId="57A33411" w:rsidR="001E3632" w:rsidRPr="002A604E" w:rsidRDefault="001E3632" w:rsidP="001E3632">
            <w:pPr>
              <w:pStyle w:val="a3"/>
              <w:spacing w:line="500" w:lineRule="exact"/>
              <w:ind w:leftChars="0" w:left="0"/>
              <w:jc w:val="center"/>
              <w:rPr>
                <w:rFonts w:ascii="標楷體" w:eastAsia="標楷體" w:hAnsi="標楷體"/>
                <w:sz w:val="28"/>
                <w:szCs w:val="24"/>
              </w:rPr>
            </w:pPr>
            <w:r w:rsidRPr="002A604E">
              <w:rPr>
                <w:rFonts w:ascii="標楷體" w:eastAsia="標楷體" w:hAnsi="標楷體" w:hint="eastAsia"/>
                <w:sz w:val="28"/>
                <w:szCs w:val="24"/>
              </w:rPr>
              <w:t>建議內容</w:t>
            </w:r>
          </w:p>
        </w:tc>
      </w:tr>
      <w:tr w:rsidR="001E3632" w:rsidRPr="002A604E" w14:paraId="4096EE6E" w14:textId="77777777" w:rsidTr="001E3632">
        <w:tc>
          <w:tcPr>
            <w:tcW w:w="8647" w:type="dxa"/>
          </w:tcPr>
          <w:p w14:paraId="1FB5AD56" w14:textId="5593543E" w:rsidR="001E3632" w:rsidRDefault="001E3632" w:rsidP="003C0CF2">
            <w:pPr>
              <w:pStyle w:val="a3"/>
              <w:numPr>
                <w:ilvl w:val="0"/>
                <w:numId w:val="2"/>
              </w:numPr>
              <w:tabs>
                <w:tab w:val="left" w:pos="600"/>
              </w:tabs>
              <w:spacing w:line="500" w:lineRule="exact"/>
              <w:ind w:leftChars="0"/>
              <w:jc w:val="both"/>
              <w:rPr>
                <w:rFonts w:ascii="標楷體" w:eastAsia="標楷體" w:hAnsi="標楷體"/>
                <w:sz w:val="28"/>
                <w:szCs w:val="24"/>
              </w:rPr>
            </w:pPr>
            <w:r w:rsidRPr="002A604E">
              <w:rPr>
                <w:rFonts w:ascii="標楷體" w:eastAsia="標楷體" w:hAnsi="標楷體" w:hint="eastAsia"/>
                <w:sz w:val="28"/>
                <w:szCs w:val="24"/>
              </w:rPr>
              <w:t>建議提高申請成為長照繼續教育認可單位之相關規定門檻，以與考核表內容呼應，並擬定退場機制。</w:t>
            </w:r>
          </w:p>
          <w:p w14:paraId="45A543DB" w14:textId="3B7557CA" w:rsidR="001E3632" w:rsidRDefault="001E3632" w:rsidP="003C0CF2">
            <w:pPr>
              <w:pStyle w:val="a3"/>
              <w:numPr>
                <w:ilvl w:val="0"/>
                <w:numId w:val="2"/>
              </w:numPr>
              <w:tabs>
                <w:tab w:val="left" w:pos="600"/>
              </w:tabs>
              <w:spacing w:line="500" w:lineRule="exact"/>
              <w:ind w:leftChars="0"/>
              <w:jc w:val="both"/>
              <w:rPr>
                <w:rFonts w:ascii="標楷體" w:eastAsia="標楷體" w:hAnsi="標楷體"/>
                <w:sz w:val="28"/>
                <w:szCs w:val="24"/>
              </w:rPr>
            </w:pPr>
            <w:r>
              <w:rPr>
                <w:rFonts w:ascii="標楷體" w:eastAsia="標楷體" w:hAnsi="標楷體" w:hint="eastAsia"/>
                <w:sz w:val="28"/>
                <w:szCs w:val="24"/>
              </w:rPr>
              <w:t>關於</w:t>
            </w:r>
            <w:r w:rsidRPr="00C161B5">
              <w:rPr>
                <w:rFonts w:ascii="標楷體" w:eastAsia="標楷體" w:hAnsi="標楷體" w:hint="eastAsia"/>
                <w:sz w:val="28"/>
                <w:szCs w:val="24"/>
              </w:rPr>
              <w:t>「長照繼續教育課程認定及積分</w:t>
            </w:r>
            <w:proofErr w:type="gramStart"/>
            <w:r w:rsidRPr="00C161B5">
              <w:rPr>
                <w:rFonts w:ascii="標楷體" w:eastAsia="標楷體" w:hAnsi="標楷體" w:hint="eastAsia"/>
                <w:sz w:val="28"/>
                <w:szCs w:val="24"/>
              </w:rPr>
              <w:t>採</w:t>
            </w:r>
            <w:proofErr w:type="gramEnd"/>
            <w:r w:rsidRPr="00C161B5">
              <w:rPr>
                <w:rFonts w:ascii="標楷體" w:eastAsia="標楷體" w:hAnsi="標楷體" w:hint="eastAsia"/>
                <w:sz w:val="28"/>
                <w:szCs w:val="24"/>
              </w:rPr>
              <w:t>認」品質管理檢核表</w:t>
            </w:r>
            <w:r>
              <w:rPr>
                <w:rFonts w:ascii="標楷體" w:eastAsia="標楷體" w:hAnsi="標楷體" w:hint="eastAsia"/>
                <w:sz w:val="28"/>
                <w:szCs w:val="24"/>
              </w:rPr>
              <w:t>之內容，意見如下：</w:t>
            </w:r>
          </w:p>
          <w:p w14:paraId="5797A299" w14:textId="02DB6B90" w:rsidR="001E3632" w:rsidRPr="00D07359" w:rsidRDefault="001E3632" w:rsidP="003C0CF2">
            <w:pPr>
              <w:pStyle w:val="a3"/>
              <w:numPr>
                <w:ilvl w:val="1"/>
                <w:numId w:val="4"/>
              </w:numPr>
              <w:spacing w:line="500" w:lineRule="exact"/>
              <w:ind w:leftChars="0"/>
              <w:jc w:val="both"/>
              <w:rPr>
                <w:rFonts w:ascii="標楷體" w:eastAsia="標楷體" w:hAnsi="標楷體"/>
                <w:sz w:val="28"/>
                <w:szCs w:val="24"/>
              </w:rPr>
            </w:pPr>
            <w:r w:rsidRPr="00D07359">
              <w:rPr>
                <w:rFonts w:ascii="標楷體" w:eastAsia="標楷體" w:hAnsi="標楷體" w:hint="eastAsia"/>
                <w:sz w:val="28"/>
                <w:szCs w:val="24"/>
              </w:rPr>
              <w:t>第二點積分審認後需請開課單位進行滿意度問卷調查，每年應做一次滿意度數據分析:</w:t>
            </w:r>
            <w:r>
              <w:rPr>
                <w:rFonts w:hint="eastAsia"/>
              </w:rPr>
              <w:t xml:space="preserve"> </w:t>
            </w:r>
            <w:proofErr w:type="gramStart"/>
            <w:r w:rsidRPr="00D07359">
              <w:rPr>
                <w:rFonts w:ascii="標楷體" w:eastAsia="標楷體" w:hAnsi="標楷體" w:hint="eastAsia"/>
                <w:sz w:val="28"/>
                <w:szCs w:val="24"/>
              </w:rPr>
              <w:t>為使送審案</w:t>
            </w:r>
            <w:proofErr w:type="gramEnd"/>
            <w:r w:rsidRPr="00D07359">
              <w:rPr>
                <w:rFonts w:ascii="標楷體" w:eastAsia="標楷體" w:hAnsi="標楷體" w:hint="eastAsia"/>
                <w:sz w:val="28"/>
                <w:szCs w:val="24"/>
              </w:rPr>
              <w:t>件能夠順利通過審查，對開課單位進行滿意度調查表將流</w:t>
            </w:r>
            <w:proofErr w:type="gramStart"/>
            <w:r w:rsidRPr="00D07359">
              <w:rPr>
                <w:rFonts w:ascii="標楷體" w:eastAsia="標楷體" w:hAnsi="標楷體" w:hint="eastAsia"/>
                <w:sz w:val="28"/>
                <w:szCs w:val="24"/>
              </w:rPr>
              <w:t>於官樣形式</w:t>
            </w:r>
            <w:proofErr w:type="gramEnd"/>
            <w:r w:rsidRPr="00D07359">
              <w:rPr>
                <w:rFonts w:ascii="標楷體" w:eastAsia="標楷體" w:hAnsi="標楷體" w:hint="eastAsia"/>
                <w:sz w:val="28"/>
                <w:szCs w:val="24"/>
              </w:rPr>
              <w:t>，可信度存疑</w:t>
            </w:r>
            <w:r>
              <w:rPr>
                <w:rFonts w:ascii="標楷體" w:eastAsia="標楷體" w:hAnsi="標楷體" w:hint="eastAsia"/>
                <w:sz w:val="28"/>
                <w:szCs w:val="24"/>
              </w:rPr>
              <w:t>；開課單位若對認定單位不</w:t>
            </w:r>
            <w:proofErr w:type="gramStart"/>
            <w:r>
              <w:rPr>
                <w:rFonts w:ascii="標楷體" w:eastAsia="標楷體" w:hAnsi="標楷體" w:hint="eastAsia"/>
                <w:sz w:val="28"/>
                <w:szCs w:val="24"/>
              </w:rPr>
              <w:t>滿意，</w:t>
            </w:r>
            <w:proofErr w:type="gramEnd"/>
            <w:r>
              <w:rPr>
                <w:rFonts w:ascii="標楷體" w:eastAsia="標楷體" w:hAnsi="標楷體" w:hint="eastAsia"/>
                <w:sz w:val="28"/>
                <w:szCs w:val="24"/>
              </w:rPr>
              <w:t>未來自然會循市場機制找其他單位審核，滿意度問卷缺乏實際效益，建議刪去本條文</w:t>
            </w:r>
            <w:r w:rsidRPr="00D07359">
              <w:rPr>
                <w:rFonts w:ascii="標楷體" w:eastAsia="標楷體" w:hAnsi="標楷體" w:hint="eastAsia"/>
                <w:sz w:val="28"/>
                <w:szCs w:val="24"/>
              </w:rPr>
              <w:t>。</w:t>
            </w:r>
          </w:p>
          <w:p w14:paraId="35257EB3" w14:textId="306280CA" w:rsidR="001E3632" w:rsidRDefault="001E3632" w:rsidP="003C0CF2">
            <w:pPr>
              <w:pStyle w:val="a3"/>
              <w:numPr>
                <w:ilvl w:val="1"/>
                <w:numId w:val="4"/>
              </w:numPr>
              <w:tabs>
                <w:tab w:val="left" w:pos="600"/>
              </w:tabs>
              <w:spacing w:line="500" w:lineRule="exact"/>
              <w:ind w:leftChars="0"/>
              <w:jc w:val="both"/>
              <w:rPr>
                <w:rFonts w:ascii="標楷體" w:eastAsia="標楷體" w:hAnsi="標楷體"/>
                <w:sz w:val="28"/>
                <w:szCs w:val="24"/>
              </w:rPr>
            </w:pPr>
            <w:r>
              <w:rPr>
                <w:rFonts w:ascii="標楷體" w:eastAsia="標楷體" w:hAnsi="標楷體" w:hint="eastAsia"/>
                <w:sz w:val="28"/>
                <w:szCs w:val="24"/>
              </w:rPr>
              <w:t>第四點</w:t>
            </w:r>
            <w:r w:rsidRPr="00C161B5">
              <w:rPr>
                <w:rFonts w:ascii="標楷體" w:eastAsia="標楷體" w:hAnsi="標楷體" w:hint="eastAsia"/>
                <w:sz w:val="28"/>
                <w:szCs w:val="24"/>
              </w:rPr>
              <w:t>查核開課單位是否於繼續教育審查認定前，自行公告或刊登審查已通過之類似廣告，並有查核紀錄</w:t>
            </w:r>
            <w:r>
              <w:rPr>
                <w:rFonts w:ascii="標楷體" w:eastAsia="標楷體" w:hAnsi="標楷體" w:hint="eastAsia"/>
                <w:sz w:val="28"/>
                <w:szCs w:val="24"/>
              </w:rPr>
              <w:t>:部份開課單位並無網站可供查詢，若該單位是以郵寄信件向該單位成員在</w:t>
            </w:r>
            <w:r w:rsidRPr="00C161B5">
              <w:rPr>
                <w:rFonts w:ascii="標楷體" w:eastAsia="標楷體" w:hAnsi="標楷體" w:hint="eastAsia"/>
                <w:sz w:val="28"/>
                <w:szCs w:val="24"/>
              </w:rPr>
              <w:t>繼續教育審查認定前</w:t>
            </w:r>
            <w:r>
              <w:rPr>
                <w:rFonts w:ascii="標楷體" w:eastAsia="標楷體" w:hAnsi="標楷體" w:hint="eastAsia"/>
                <w:sz w:val="28"/>
                <w:szCs w:val="24"/>
              </w:rPr>
              <w:t>宣傳，認可單位將難以稽核，建議修改為</w:t>
            </w:r>
            <w:r w:rsidRPr="00D07359">
              <w:rPr>
                <w:rFonts w:ascii="標楷體" w:eastAsia="標楷體" w:hAnsi="標楷體" w:hint="eastAsia"/>
                <w:sz w:val="28"/>
                <w:szCs w:val="24"/>
              </w:rPr>
              <w:t>其查核紀錄數量需為當年度審認場次之</w:t>
            </w:r>
            <w:r w:rsidRPr="00B8017F">
              <w:rPr>
                <w:rFonts w:ascii="標楷體" w:eastAsia="標楷體" w:hAnsi="標楷體" w:hint="eastAsia"/>
                <w:b/>
                <w:color w:val="FF0000"/>
                <w:sz w:val="28"/>
                <w:szCs w:val="24"/>
                <w:u w:val="single"/>
              </w:rPr>
              <w:t>2.5%</w:t>
            </w:r>
            <w:r w:rsidRPr="00D07359">
              <w:rPr>
                <w:rFonts w:ascii="標楷體" w:eastAsia="標楷體" w:hAnsi="標楷體" w:hint="eastAsia"/>
                <w:sz w:val="28"/>
                <w:szCs w:val="24"/>
              </w:rPr>
              <w:t>（小數點無條件進位）。如當年度審認積分未達</w:t>
            </w:r>
            <w:r w:rsidRPr="00B8017F">
              <w:rPr>
                <w:rFonts w:ascii="標楷體" w:eastAsia="標楷體" w:hAnsi="標楷體" w:hint="eastAsia"/>
                <w:b/>
                <w:color w:val="FF0000"/>
                <w:sz w:val="28"/>
                <w:szCs w:val="24"/>
                <w:u w:val="single"/>
              </w:rPr>
              <w:t>20</w:t>
            </w:r>
            <w:r w:rsidRPr="00D07359">
              <w:rPr>
                <w:rFonts w:ascii="標楷體" w:eastAsia="標楷體" w:hAnsi="標楷體" w:hint="eastAsia"/>
                <w:sz w:val="28"/>
                <w:szCs w:val="24"/>
              </w:rPr>
              <w:t>場，至少需查核1場次</w:t>
            </w:r>
            <w:r>
              <w:rPr>
                <w:rFonts w:ascii="標楷體" w:eastAsia="標楷體" w:hAnsi="標楷體" w:hint="eastAsia"/>
                <w:sz w:val="28"/>
                <w:szCs w:val="24"/>
              </w:rPr>
              <w:t>。</w:t>
            </w:r>
          </w:p>
          <w:p w14:paraId="3DD7D0D3" w14:textId="40DD4B4F" w:rsidR="001E3632" w:rsidRDefault="001E3632" w:rsidP="003C0CF2">
            <w:pPr>
              <w:pStyle w:val="a3"/>
              <w:numPr>
                <w:ilvl w:val="1"/>
                <w:numId w:val="4"/>
              </w:numPr>
              <w:tabs>
                <w:tab w:val="left" w:pos="600"/>
                <w:tab w:val="left" w:pos="1167"/>
                <w:tab w:val="left" w:pos="1309"/>
              </w:tabs>
              <w:spacing w:line="500" w:lineRule="exact"/>
              <w:ind w:leftChars="0"/>
              <w:jc w:val="both"/>
              <w:rPr>
                <w:rFonts w:ascii="標楷體" w:eastAsia="標楷體" w:hAnsi="標楷體"/>
                <w:sz w:val="28"/>
                <w:szCs w:val="24"/>
              </w:rPr>
            </w:pPr>
            <w:r w:rsidRPr="00751A31">
              <w:rPr>
                <w:rFonts w:ascii="標楷體" w:eastAsia="標楷體" w:hAnsi="標楷體" w:hint="eastAsia"/>
                <w:sz w:val="28"/>
                <w:szCs w:val="24"/>
              </w:rPr>
              <w:t xml:space="preserve">第四點針對積分申請案件查核同一案件是否已向其他長照積分認可單位提出申請，並有查核紀錄: </w:t>
            </w:r>
            <w:proofErr w:type="gramStart"/>
            <w:r w:rsidRPr="00751A31">
              <w:rPr>
                <w:rFonts w:ascii="標楷體" w:eastAsia="標楷體" w:hAnsi="標楷體" w:hint="eastAsia"/>
                <w:sz w:val="28"/>
                <w:szCs w:val="24"/>
              </w:rPr>
              <w:t>貴部擬建置</w:t>
            </w:r>
            <w:proofErr w:type="gramEnd"/>
            <w:r w:rsidRPr="00751A31">
              <w:rPr>
                <w:rFonts w:ascii="標楷體" w:eastAsia="標楷體" w:hAnsi="標楷體" w:hint="eastAsia"/>
                <w:sz w:val="28"/>
                <w:szCs w:val="24"/>
              </w:rPr>
              <w:t>之「長照人員繼續教育積分管理功能」裡</w:t>
            </w:r>
            <w:r>
              <w:rPr>
                <w:rFonts w:ascii="標楷體" w:eastAsia="標楷體" w:hAnsi="標楷體" w:hint="eastAsia"/>
                <w:sz w:val="28"/>
                <w:szCs w:val="24"/>
              </w:rPr>
              <w:t>，應建置自動防止同一時段同一案件重複申請之功能，各認可單位對於</w:t>
            </w:r>
            <w:r w:rsidRPr="00C161B5">
              <w:rPr>
                <w:rFonts w:ascii="標楷體" w:eastAsia="標楷體" w:hAnsi="標楷體" w:hint="eastAsia"/>
                <w:sz w:val="28"/>
                <w:szCs w:val="24"/>
              </w:rPr>
              <w:t>開課單位</w:t>
            </w:r>
            <w:r>
              <w:rPr>
                <w:rFonts w:ascii="標楷體" w:eastAsia="標楷體" w:hAnsi="標楷體" w:hint="eastAsia"/>
                <w:sz w:val="28"/>
                <w:szCs w:val="24"/>
              </w:rPr>
              <w:t>通常</w:t>
            </w:r>
            <w:proofErr w:type="gramStart"/>
            <w:r>
              <w:rPr>
                <w:rFonts w:ascii="標楷體" w:eastAsia="標楷體" w:hAnsi="標楷體" w:hint="eastAsia"/>
                <w:sz w:val="28"/>
                <w:szCs w:val="24"/>
              </w:rPr>
              <w:t>採</w:t>
            </w:r>
            <w:proofErr w:type="gramEnd"/>
            <w:r>
              <w:rPr>
                <w:rFonts w:ascii="標楷體" w:eastAsia="標楷體" w:hAnsi="標楷體" w:hint="eastAsia"/>
                <w:sz w:val="28"/>
                <w:szCs w:val="24"/>
              </w:rPr>
              <w:t>信任原則，不宜將該查核工作交由認可單位執行</w:t>
            </w:r>
            <w:r w:rsidRPr="00751A31">
              <w:rPr>
                <w:rFonts w:ascii="標楷體" w:eastAsia="標楷體" w:hAnsi="標楷體" w:hint="eastAsia"/>
                <w:sz w:val="28"/>
                <w:szCs w:val="24"/>
              </w:rPr>
              <w:t>。</w:t>
            </w:r>
          </w:p>
          <w:p w14:paraId="443B8A89" w14:textId="1DED8AE1" w:rsidR="001E3632" w:rsidRPr="00D07359" w:rsidRDefault="001E3632" w:rsidP="003C0CF2">
            <w:pPr>
              <w:pStyle w:val="a3"/>
              <w:numPr>
                <w:ilvl w:val="1"/>
                <w:numId w:val="4"/>
              </w:numPr>
              <w:tabs>
                <w:tab w:val="left" w:pos="600"/>
              </w:tabs>
              <w:spacing w:line="500" w:lineRule="exact"/>
              <w:ind w:leftChars="0"/>
              <w:jc w:val="both"/>
              <w:rPr>
                <w:rFonts w:ascii="標楷體" w:eastAsia="標楷體" w:hAnsi="標楷體"/>
                <w:sz w:val="28"/>
                <w:szCs w:val="24"/>
              </w:rPr>
            </w:pPr>
            <w:r>
              <w:rPr>
                <w:rFonts w:ascii="標楷體" w:eastAsia="標楷體" w:hAnsi="標楷體" w:hint="eastAsia"/>
                <w:sz w:val="28"/>
                <w:szCs w:val="24"/>
              </w:rPr>
              <w:t>第五點</w:t>
            </w:r>
            <w:r w:rsidRPr="00751A31">
              <w:rPr>
                <w:rFonts w:ascii="標楷體" w:eastAsia="標楷體" w:hAnsi="標楷體" w:hint="eastAsia"/>
                <w:sz w:val="28"/>
                <w:szCs w:val="24"/>
              </w:rPr>
              <w:t>派員至</w:t>
            </w:r>
            <w:proofErr w:type="gramStart"/>
            <w:r w:rsidRPr="00751A31">
              <w:rPr>
                <w:rFonts w:ascii="標楷體" w:eastAsia="標楷體" w:hAnsi="標楷體" w:hint="eastAsia"/>
                <w:sz w:val="28"/>
                <w:szCs w:val="24"/>
              </w:rPr>
              <w:t>開課辦訓現場</w:t>
            </w:r>
            <w:proofErr w:type="gramEnd"/>
            <w:r w:rsidRPr="00751A31">
              <w:rPr>
                <w:rFonts w:ascii="標楷體" w:eastAsia="標楷體" w:hAnsi="標楷體" w:hint="eastAsia"/>
                <w:sz w:val="28"/>
                <w:szCs w:val="24"/>
              </w:rPr>
              <w:t>查核監督實際授課內容及形式是否與所提出申請簡章相符</w:t>
            </w:r>
            <w:r>
              <w:rPr>
                <w:rFonts w:ascii="標楷體" w:eastAsia="標楷體" w:hAnsi="標楷體" w:hint="eastAsia"/>
                <w:sz w:val="28"/>
                <w:szCs w:val="24"/>
              </w:rPr>
              <w:t>、</w:t>
            </w:r>
            <w:r w:rsidRPr="00D07359">
              <w:rPr>
                <w:rFonts w:ascii="標楷體" w:eastAsia="標楷體" w:hAnsi="標楷體" w:hint="eastAsia"/>
                <w:sz w:val="28"/>
                <w:szCs w:val="24"/>
              </w:rPr>
              <w:t>派員至課程現場抽查簽名單與實際上課學員是否相符</w:t>
            </w:r>
            <w:r>
              <w:rPr>
                <w:rFonts w:ascii="標楷體" w:eastAsia="標楷體" w:hAnsi="標楷體" w:hint="eastAsia"/>
                <w:sz w:val="28"/>
                <w:szCs w:val="24"/>
              </w:rPr>
              <w:t>、:由於開課單位遍佈全省，</w:t>
            </w:r>
            <w:r w:rsidRPr="00751A31">
              <w:rPr>
                <w:rFonts w:ascii="標楷體" w:eastAsia="標楷體" w:hAnsi="標楷體" w:hint="eastAsia"/>
                <w:sz w:val="28"/>
                <w:szCs w:val="24"/>
              </w:rPr>
              <w:t>認可單位</w:t>
            </w:r>
            <w:r>
              <w:rPr>
                <w:rFonts w:ascii="標楷體" w:eastAsia="標楷體" w:hAnsi="標楷體" w:hint="eastAsia"/>
                <w:sz w:val="28"/>
                <w:szCs w:val="24"/>
              </w:rPr>
              <w:t>審查費不高，難以利用自己單位之交通住宿</w:t>
            </w:r>
            <w:r w:rsidRPr="004C13E0">
              <w:rPr>
                <w:rFonts w:ascii="標楷體" w:eastAsia="標楷體" w:hAnsi="標楷體" w:hint="eastAsia"/>
                <w:sz w:val="28"/>
                <w:szCs w:val="24"/>
              </w:rPr>
              <w:t>費用預算</w:t>
            </w:r>
            <w:r>
              <w:rPr>
                <w:rFonts w:ascii="標楷體" w:eastAsia="標楷體" w:hAnsi="標楷體" w:hint="eastAsia"/>
                <w:sz w:val="28"/>
                <w:szCs w:val="24"/>
              </w:rPr>
              <w:t>派員進行現場</w:t>
            </w:r>
            <w:r>
              <w:rPr>
                <w:rFonts w:ascii="標楷體" w:eastAsia="標楷體" w:hAnsi="標楷體" w:hint="eastAsia"/>
                <w:sz w:val="28"/>
                <w:szCs w:val="24"/>
              </w:rPr>
              <w:lastRenderedPageBreak/>
              <w:t>查核，建議這兩項修改為</w:t>
            </w:r>
            <w:r w:rsidRPr="00D07359">
              <w:rPr>
                <w:rFonts w:ascii="標楷體" w:eastAsia="標楷體" w:hAnsi="標楷體" w:hint="eastAsia"/>
                <w:sz w:val="28"/>
                <w:szCs w:val="24"/>
              </w:rPr>
              <w:t>查核紀錄數量需為當年度積分審認場次之</w:t>
            </w:r>
            <w:r w:rsidRPr="00B8017F">
              <w:rPr>
                <w:rFonts w:ascii="標楷體" w:eastAsia="標楷體" w:hAnsi="標楷體" w:hint="eastAsia"/>
                <w:b/>
                <w:color w:val="FF0000"/>
                <w:sz w:val="28"/>
                <w:szCs w:val="24"/>
                <w:u w:val="single"/>
              </w:rPr>
              <w:t>5%</w:t>
            </w:r>
            <w:r w:rsidRPr="00D07359">
              <w:rPr>
                <w:rFonts w:ascii="標楷體" w:eastAsia="標楷體" w:hAnsi="標楷體" w:hint="eastAsia"/>
                <w:sz w:val="28"/>
                <w:szCs w:val="24"/>
              </w:rPr>
              <w:t>（小數點無條件進位）。如當年度審認積分未達</w:t>
            </w:r>
            <w:r w:rsidRPr="00B8017F">
              <w:rPr>
                <w:rFonts w:ascii="標楷體" w:eastAsia="標楷體" w:hAnsi="標楷體" w:hint="eastAsia"/>
                <w:b/>
                <w:color w:val="FF0000"/>
                <w:sz w:val="28"/>
                <w:szCs w:val="24"/>
                <w:u w:val="single"/>
              </w:rPr>
              <w:t>20</w:t>
            </w:r>
            <w:r w:rsidRPr="00D07359">
              <w:rPr>
                <w:rFonts w:ascii="標楷體" w:eastAsia="標楷體" w:hAnsi="標楷體" w:hint="eastAsia"/>
                <w:sz w:val="28"/>
                <w:szCs w:val="24"/>
              </w:rPr>
              <w:t>場，至少需查核1場次</w:t>
            </w:r>
            <w:r>
              <w:rPr>
                <w:rFonts w:ascii="標楷體" w:eastAsia="標楷體" w:hAnsi="標楷體" w:hint="eastAsia"/>
                <w:sz w:val="28"/>
                <w:szCs w:val="24"/>
              </w:rPr>
              <w:t>。</w:t>
            </w:r>
          </w:p>
          <w:p w14:paraId="1B730127" w14:textId="2CCDB0D9" w:rsidR="001E3632" w:rsidRPr="002A604E" w:rsidRDefault="001E3632" w:rsidP="003C0CF2">
            <w:pPr>
              <w:pStyle w:val="a3"/>
              <w:numPr>
                <w:ilvl w:val="0"/>
                <w:numId w:val="2"/>
              </w:numPr>
              <w:tabs>
                <w:tab w:val="left" w:pos="600"/>
              </w:tabs>
              <w:spacing w:line="500" w:lineRule="exact"/>
              <w:ind w:leftChars="0" w:left="458" w:hanging="458"/>
              <w:jc w:val="both"/>
              <w:rPr>
                <w:rFonts w:ascii="標楷體" w:eastAsia="標楷體" w:hAnsi="標楷體"/>
                <w:sz w:val="28"/>
                <w:szCs w:val="24"/>
              </w:rPr>
            </w:pPr>
            <w:r w:rsidRPr="002A604E">
              <w:rPr>
                <w:rFonts w:ascii="標楷體" w:eastAsia="標楷體" w:hAnsi="標楷體" w:hint="eastAsia"/>
                <w:sz w:val="28"/>
                <w:szCs w:val="24"/>
              </w:rPr>
              <w:t>再過三年，將有為數不少的長照人員執照陸續到期，</w:t>
            </w:r>
            <w:r>
              <w:rPr>
                <w:rFonts w:ascii="標楷體" w:eastAsia="標楷體" w:hAnsi="標楷體" w:hint="eastAsia"/>
                <w:sz w:val="28"/>
                <w:szCs w:val="24"/>
              </w:rPr>
              <w:t>目前許多</w:t>
            </w:r>
            <w:proofErr w:type="gramStart"/>
            <w:r>
              <w:rPr>
                <w:rFonts w:ascii="標楷體" w:eastAsia="標楷體" w:hAnsi="標楷體" w:hint="eastAsia"/>
                <w:sz w:val="28"/>
                <w:szCs w:val="24"/>
              </w:rPr>
              <w:t>醫</w:t>
            </w:r>
            <w:proofErr w:type="gramEnd"/>
            <w:r>
              <w:rPr>
                <w:rFonts w:ascii="標楷體" w:eastAsia="標楷體" w:hAnsi="標楷體" w:hint="eastAsia"/>
                <w:sz w:val="28"/>
                <w:szCs w:val="24"/>
              </w:rPr>
              <w:t>事</w:t>
            </w:r>
            <w:r>
              <w:rPr>
                <w:rFonts w:ascii="標楷體" w:eastAsia="標楷體" w:hAnsi="標楷體"/>
                <w:sz w:val="28"/>
                <w:szCs w:val="24"/>
              </w:rPr>
              <w:t>人員長照</w:t>
            </w:r>
            <w:proofErr w:type="gramStart"/>
            <w:r>
              <w:rPr>
                <w:rFonts w:ascii="標楷體" w:eastAsia="標楷體" w:hAnsi="標楷體"/>
                <w:sz w:val="28"/>
                <w:szCs w:val="24"/>
              </w:rPr>
              <w:t>學分均有不足</w:t>
            </w:r>
            <w:proofErr w:type="gramEnd"/>
            <w:r w:rsidRPr="002A604E">
              <w:rPr>
                <w:rFonts w:ascii="標楷體" w:eastAsia="標楷體" w:hAnsi="標楷體" w:hint="eastAsia"/>
                <w:sz w:val="28"/>
                <w:szCs w:val="24"/>
              </w:rPr>
              <w:t>，將形成無法繼續提供長照服務的窘境，現階段應著重於鼓勵各單位多開長照相關課程，而不是優先就開課單位的審查品質管理進行查核。</w:t>
            </w:r>
          </w:p>
          <w:p w14:paraId="62B22230" w14:textId="6A064BF9" w:rsidR="001E3632" w:rsidRDefault="001E3632" w:rsidP="003C0CF2">
            <w:pPr>
              <w:pStyle w:val="a3"/>
              <w:numPr>
                <w:ilvl w:val="0"/>
                <w:numId w:val="2"/>
              </w:numPr>
              <w:tabs>
                <w:tab w:val="left" w:pos="600"/>
              </w:tabs>
              <w:spacing w:line="500" w:lineRule="exact"/>
              <w:ind w:leftChars="0" w:left="458" w:hanging="458"/>
              <w:jc w:val="both"/>
              <w:rPr>
                <w:rFonts w:ascii="標楷體" w:eastAsia="標楷體" w:hAnsi="標楷體"/>
                <w:sz w:val="28"/>
                <w:szCs w:val="24"/>
              </w:rPr>
            </w:pPr>
            <w:r w:rsidRPr="002A604E">
              <w:rPr>
                <w:rFonts w:ascii="標楷體" w:eastAsia="標楷體" w:hAnsi="標楷體" w:hint="eastAsia"/>
                <w:sz w:val="28"/>
                <w:szCs w:val="24"/>
              </w:rPr>
              <w:t>因應</w:t>
            </w:r>
            <w:proofErr w:type="gramStart"/>
            <w:r w:rsidRPr="002A604E">
              <w:rPr>
                <w:rFonts w:ascii="標楷體" w:eastAsia="標楷體" w:hAnsi="標楷體" w:hint="eastAsia"/>
                <w:sz w:val="28"/>
                <w:szCs w:val="24"/>
              </w:rPr>
              <w:t>疫情</w:t>
            </w:r>
            <w:r>
              <w:rPr>
                <w:rFonts w:ascii="標楷體" w:eastAsia="標楷體" w:hAnsi="標楷體" w:hint="eastAsia"/>
                <w:sz w:val="28"/>
                <w:szCs w:val="24"/>
              </w:rPr>
              <w:t>與</w:t>
            </w:r>
            <w:proofErr w:type="gramEnd"/>
            <w:r>
              <w:rPr>
                <w:rFonts w:ascii="標楷體" w:eastAsia="標楷體" w:hAnsi="標楷體" w:hint="eastAsia"/>
                <w:sz w:val="28"/>
                <w:szCs w:val="24"/>
              </w:rPr>
              <w:t>學員之時間彈性</w:t>
            </w:r>
            <w:r w:rsidRPr="002A604E">
              <w:rPr>
                <w:rFonts w:ascii="標楷體" w:eastAsia="標楷體" w:hAnsi="標楷體" w:hint="eastAsia"/>
                <w:sz w:val="28"/>
                <w:szCs w:val="24"/>
              </w:rPr>
              <w:t>，</w:t>
            </w:r>
            <w:proofErr w:type="gramStart"/>
            <w:r w:rsidRPr="002A604E">
              <w:rPr>
                <w:rFonts w:ascii="標楷體" w:eastAsia="標楷體" w:hAnsi="標楷體" w:hint="eastAsia"/>
                <w:sz w:val="28"/>
                <w:szCs w:val="24"/>
              </w:rPr>
              <w:t>申請線上課程</w:t>
            </w:r>
            <w:proofErr w:type="gramEnd"/>
            <w:r w:rsidRPr="002A604E">
              <w:rPr>
                <w:rFonts w:ascii="標楷體" w:eastAsia="標楷體" w:hAnsi="標楷體" w:hint="eastAsia"/>
                <w:sz w:val="28"/>
                <w:szCs w:val="24"/>
              </w:rPr>
              <w:t>認證數量</w:t>
            </w:r>
            <w:r>
              <w:rPr>
                <w:rFonts w:ascii="標楷體" w:eastAsia="標楷體" w:hAnsi="標楷體" w:hint="eastAsia"/>
                <w:sz w:val="28"/>
                <w:szCs w:val="24"/>
              </w:rPr>
              <w:t>逐漸</w:t>
            </w:r>
            <w:r w:rsidRPr="002A604E">
              <w:rPr>
                <w:rFonts w:ascii="標楷體" w:eastAsia="標楷體" w:hAnsi="標楷體" w:hint="eastAsia"/>
                <w:sz w:val="28"/>
                <w:szCs w:val="24"/>
              </w:rPr>
              <w:t>增加，建議</w:t>
            </w:r>
            <w:r>
              <w:rPr>
                <w:rFonts w:ascii="標楷體" w:eastAsia="標楷體" w:hAnsi="標楷體" w:hint="eastAsia"/>
                <w:sz w:val="28"/>
                <w:szCs w:val="24"/>
              </w:rPr>
              <w:t>要求開課單位於</w:t>
            </w:r>
            <w:proofErr w:type="gramStart"/>
            <w:r>
              <w:rPr>
                <w:rFonts w:ascii="標楷體" w:eastAsia="標楷體" w:hAnsi="標楷體" w:hint="eastAsia"/>
                <w:sz w:val="28"/>
                <w:szCs w:val="24"/>
              </w:rPr>
              <w:t>開辦線上課程</w:t>
            </w:r>
            <w:proofErr w:type="gramEnd"/>
            <w:r>
              <w:rPr>
                <w:rFonts w:ascii="標楷體" w:eastAsia="標楷體" w:hAnsi="標楷體" w:hint="eastAsia"/>
                <w:sz w:val="28"/>
                <w:szCs w:val="24"/>
              </w:rPr>
              <w:t>時，需</w:t>
            </w:r>
            <w:r w:rsidRPr="002A604E">
              <w:rPr>
                <w:rFonts w:ascii="標楷體" w:eastAsia="標楷體" w:hAnsi="標楷體" w:hint="eastAsia"/>
                <w:sz w:val="28"/>
                <w:szCs w:val="24"/>
              </w:rPr>
              <w:t>同步製作考題，於課程結束後進行測驗，以評估學員吸收程度，並</w:t>
            </w:r>
            <w:proofErr w:type="gramStart"/>
            <w:r w:rsidRPr="002A604E">
              <w:rPr>
                <w:rFonts w:ascii="標楷體" w:eastAsia="標楷體" w:hAnsi="標楷體" w:hint="eastAsia"/>
                <w:sz w:val="28"/>
                <w:szCs w:val="24"/>
              </w:rPr>
              <w:t>增加線上課程</w:t>
            </w:r>
            <w:proofErr w:type="gramEnd"/>
            <w:r w:rsidRPr="002A604E">
              <w:rPr>
                <w:rFonts w:ascii="標楷體" w:eastAsia="標楷體" w:hAnsi="標楷體" w:hint="eastAsia"/>
                <w:sz w:val="28"/>
                <w:szCs w:val="24"/>
              </w:rPr>
              <w:t>學習效果。</w:t>
            </w:r>
          </w:p>
          <w:p w14:paraId="0E9D72D1" w14:textId="07B366E2" w:rsidR="001E3632" w:rsidRPr="002A604E" w:rsidRDefault="001E3632" w:rsidP="003C0CF2">
            <w:pPr>
              <w:pStyle w:val="a3"/>
              <w:numPr>
                <w:ilvl w:val="0"/>
                <w:numId w:val="2"/>
              </w:numPr>
              <w:tabs>
                <w:tab w:val="left" w:pos="600"/>
              </w:tabs>
              <w:spacing w:line="500" w:lineRule="exact"/>
              <w:ind w:leftChars="0" w:left="458" w:hanging="458"/>
              <w:jc w:val="both"/>
              <w:rPr>
                <w:rFonts w:ascii="標楷體" w:eastAsia="標楷體" w:hAnsi="標楷體"/>
                <w:sz w:val="28"/>
                <w:szCs w:val="24"/>
              </w:rPr>
            </w:pPr>
            <w:proofErr w:type="gramStart"/>
            <w:r>
              <w:rPr>
                <w:rFonts w:ascii="標楷體" w:eastAsia="標楷體" w:hAnsi="標楷體" w:hint="eastAsia"/>
                <w:sz w:val="28"/>
                <w:szCs w:val="24"/>
              </w:rPr>
              <w:t>醫</w:t>
            </w:r>
            <w:proofErr w:type="gramEnd"/>
            <w:r>
              <w:rPr>
                <w:rFonts w:ascii="標楷體" w:eastAsia="標楷體" w:hAnsi="標楷體" w:hint="eastAsia"/>
                <w:sz w:val="28"/>
                <w:szCs w:val="24"/>
              </w:rPr>
              <w:t>事人員從事長照業務乃基於其醫療專業</w:t>
            </w:r>
            <w:r>
              <w:rPr>
                <w:rFonts w:ascii="標楷體" w:eastAsia="標楷體" w:hAnsi="標楷體"/>
                <w:sz w:val="28"/>
                <w:szCs w:val="24"/>
              </w:rPr>
              <w:t>，</w:t>
            </w:r>
            <w:r>
              <w:rPr>
                <w:rFonts w:ascii="標楷體" w:eastAsia="標楷體" w:hAnsi="標楷體" w:hint="eastAsia"/>
                <w:sz w:val="28"/>
                <w:szCs w:val="24"/>
              </w:rPr>
              <w:t>具有未過期之</w:t>
            </w:r>
            <w:proofErr w:type="gramStart"/>
            <w:r>
              <w:rPr>
                <w:rFonts w:ascii="標楷體" w:eastAsia="標楷體" w:hAnsi="標楷體" w:hint="eastAsia"/>
                <w:sz w:val="28"/>
                <w:szCs w:val="24"/>
              </w:rPr>
              <w:t>醫</w:t>
            </w:r>
            <w:proofErr w:type="gramEnd"/>
            <w:r>
              <w:rPr>
                <w:rFonts w:ascii="標楷體" w:eastAsia="標楷體" w:hAnsi="標楷體" w:hint="eastAsia"/>
                <w:sz w:val="28"/>
                <w:szCs w:val="24"/>
              </w:rPr>
              <w:t>事人員證照</w:t>
            </w:r>
            <w:r>
              <w:rPr>
                <w:rFonts w:ascii="標楷體" w:eastAsia="標楷體" w:hAnsi="標楷體"/>
                <w:sz w:val="28"/>
                <w:szCs w:val="24"/>
              </w:rPr>
              <w:t>比長照繼續教育積分更為重要，</w:t>
            </w:r>
            <w:r>
              <w:rPr>
                <w:rFonts w:ascii="標楷體" w:eastAsia="標楷體" w:hAnsi="標楷體" w:hint="eastAsia"/>
                <w:sz w:val="28"/>
                <w:szCs w:val="24"/>
              </w:rPr>
              <w:t>且</w:t>
            </w:r>
            <w:proofErr w:type="gramStart"/>
            <w:r>
              <w:rPr>
                <w:rFonts w:ascii="標楷體" w:eastAsia="標楷體" w:hAnsi="標楷體" w:hint="eastAsia"/>
                <w:sz w:val="28"/>
                <w:szCs w:val="24"/>
              </w:rPr>
              <w:t>醫</w:t>
            </w:r>
            <w:proofErr w:type="gramEnd"/>
            <w:r>
              <w:rPr>
                <w:rFonts w:ascii="標楷體" w:eastAsia="標楷體" w:hAnsi="標楷體" w:hint="eastAsia"/>
                <w:sz w:val="28"/>
                <w:szCs w:val="24"/>
              </w:rPr>
              <w:t>事人員從事長照業務大多為兼職工作</w:t>
            </w:r>
            <w:r>
              <w:rPr>
                <w:rFonts w:ascii="標楷體" w:eastAsia="標楷體" w:hAnsi="標楷體"/>
                <w:sz w:val="28"/>
                <w:szCs w:val="24"/>
              </w:rPr>
              <w:t>，和全職長照人員</w:t>
            </w:r>
            <w:r>
              <w:rPr>
                <w:rFonts w:ascii="標楷體" w:eastAsia="標楷體" w:hAnsi="標楷體" w:hint="eastAsia"/>
                <w:sz w:val="28"/>
                <w:szCs w:val="24"/>
              </w:rPr>
              <w:t>要求相同之長照繼續教育積分</w:t>
            </w:r>
            <w:r>
              <w:rPr>
                <w:rFonts w:ascii="標楷體" w:eastAsia="標楷體" w:hAnsi="標楷體"/>
                <w:sz w:val="28"/>
                <w:szCs w:val="24"/>
              </w:rPr>
              <w:t>並不合理，</w:t>
            </w:r>
            <w:r>
              <w:rPr>
                <w:rFonts w:ascii="標楷體" w:eastAsia="標楷體" w:hAnsi="標楷體" w:hint="eastAsia"/>
                <w:sz w:val="28"/>
                <w:szCs w:val="24"/>
              </w:rPr>
              <w:t>並可能影響</w:t>
            </w:r>
            <w:proofErr w:type="gramStart"/>
            <w:r>
              <w:rPr>
                <w:rFonts w:ascii="標楷體" w:eastAsia="標楷體" w:hAnsi="標楷體" w:hint="eastAsia"/>
                <w:sz w:val="28"/>
                <w:szCs w:val="24"/>
              </w:rPr>
              <w:t>醫</w:t>
            </w:r>
            <w:proofErr w:type="gramEnd"/>
            <w:r>
              <w:rPr>
                <w:rFonts w:ascii="標楷體" w:eastAsia="標楷體" w:hAnsi="標楷體" w:hint="eastAsia"/>
                <w:sz w:val="28"/>
                <w:szCs w:val="24"/>
              </w:rPr>
              <w:t>事人員從事長照業務之意願</w:t>
            </w:r>
            <w:r>
              <w:rPr>
                <w:rFonts w:ascii="標楷體" w:eastAsia="標楷體" w:hAnsi="標楷體"/>
                <w:sz w:val="28"/>
                <w:szCs w:val="24"/>
              </w:rPr>
              <w:t>，請</w:t>
            </w:r>
            <w:r>
              <w:rPr>
                <w:rFonts w:ascii="標楷體" w:eastAsia="標楷體" w:hAnsi="標楷體" w:hint="eastAsia"/>
                <w:sz w:val="28"/>
                <w:szCs w:val="24"/>
              </w:rPr>
              <w:t xml:space="preserve"> </w:t>
            </w:r>
            <w:proofErr w:type="gramStart"/>
            <w:r>
              <w:rPr>
                <w:rFonts w:ascii="標楷體" w:eastAsia="標楷體" w:hAnsi="標楷體"/>
                <w:sz w:val="28"/>
                <w:szCs w:val="24"/>
              </w:rPr>
              <w:t>貴司慎重</w:t>
            </w:r>
            <w:proofErr w:type="gramEnd"/>
            <w:r>
              <w:rPr>
                <w:rFonts w:ascii="標楷體" w:eastAsia="標楷體" w:hAnsi="標楷體"/>
                <w:sz w:val="28"/>
                <w:szCs w:val="24"/>
              </w:rPr>
              <w:t>考慮修改相關辦法。</w:t>
            </w:r>
          </w:p>
          <w:p w14:paraId="6DE9E22E" w14:textId="1570F039" w:rsidR="001E3632" w:rsidRPr="002A604E" w:rsidRDefault="001E3632" w:rsidP="003C0CF2">
            <w:pPr>
              <w:pStyle w:val="a3"/>
              <w:numPr>
                <w:ilvl w:val="0"/>
                <w:numId w:val="2"/>
              </w:numPr>
              <w:tabs>
                <w:tab w:val="left" w:pos="600"/>
              </w:tabs>
              <w:spacing w:line="500" w:lineRule="exact"/>
              <w:ind w:leftChars="0" w:left="458" w:hanging="458"/>
              <w:jc w:val="both"/>
              <w:rPr>
                <w:rFonts w:ascii="標楷體" w:eastAsia="標楷體" w:hAnsi="標楷體"/>
                <w:sz w:val="28"/>
                <w:szCs w:val="24"/>
              </w:rPr>
            </w:pPr>
            <w:r>
              <w:rPr>
                <w:rFonts w:ascii="標楷體" w:eastAsia="標楷體" w:hAnsi="標楷體" w:hint="eastAsia"/>
                <w:sz w:val="28"/>
                <w:szCs w:val="24"/>
              </w:rPr>
              <w:t>醫師意見書之觀念來自日本</w:t>
            </w:r>
            <w:r>
              <w:rPr>
                <w:rFonts w:ascii="標楷體" w:eastAsia="標楷體" w:hAnsi="標楷體"/>
                <w:sz w:val="28"/>
                <w:szCs w:val="24"/>
              </w:rPr>
              <w:t>，</w:t>
            </w:r>
            <w:r>
              <w:rPr>
                <w:rFonts w:ascii="標楷體" w:eastAsia="標楷體" w:hAnsi="標楷體" w:hint="eastAsia"/>
                <w:sz w:val="28"/>
                <w:szCs w:val="24"/>
              </w:rPr>
              <w:t>日本撰寫醫師意見書之醫師，僅需具備醫師執照即可撰寫並申請費用，無需接受長照繼續教育</w:t>
            </w:r>
            <w:r w:rsidR="009518AD">
              <w:rPr>
                <w:rFonts w:ascii="標楷體" w:eastAsia="標楷體" w:hAnsi="標楷體" w:hint="eastAsia"/>
                <w:sz w:val="28"/>
                <w:szCs w:val="24"/>
              </w:rPr>
              <w:t>，</w:t>
            </w:r>
            <w:proofErr w:type="gramStart"/>
            <w:r w:rsidR="009518AD">
              <w:rPr>
                <w:rFonts w:ascii="標楷體" w:eastAsia="標楷體" w:hAnsi="標楷體" w:hint="eastAsia"/>
                <w:sz w:val="28"/>
                <w:szCs w:val="24"/>
              </w:rPr>
              <w:t>建議貴司參考</w:t>
            </w:r>
            <w:proofErr w:type="gramEnd"/>
            <w:r w:rsidRPr="002A604E">
              <w:rPr>
                <w:rFonts w:ascii="標楷體" w:eastAsia="標楷體" w:hAnsi="標楷體" w:hint="eastAsia"/>
                <w:sz w:val="28"/>
                <w:szCs w:val="24"/>
              </w:rPr>
              <w:t>。</w:t>
            </w:r>
          </w:p>
        </w:tc>
      </w:tr>
    </w:tbl>
    <w:p w14:paraId="34619A2A" w14:textId="0E9E4FBC" w:rsidR="003C0CF2" w:rsidRPr="007233E2" w:rsidRDefault="003C0CF2" w:rsidP="007233E2">
      <w:pPr>
        <w:tabs>
          <w:tab w:val="left" w:pos="567"/>
        </w:tabs>
        <w:spacing w:line="500" w:lineRule="exact"/>
        <w:rPr>
          <w:rFonts w:ascii="標楷體" w:eastAsia="標楷體" w:hAnsi="標楷體"/>
          <w:sz w:val="28"/>
          <w:szCs w:val="24"/>
        </w:rPr>
      </w:pPr>
    </w:p>
    <w:sectPr w:rsidR="003C0CF2" w:rsidRPr="007233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134A" w14:textId="77777777" w:rsidR="00BD5499" w:rsidRDefault="00BD5499" w:rsidP="002A604E">
      <w:r>
        <w:separator/>
      </w:r>
    </w:p>
  </w:endnote>
  <w:endnote w:type="continuationSeparator" w:id="0">
    <w:p w14:paraId="49D52FB5" w14:textId="77777777" w:rsidR="00BD5499" w:rsidRDefault="00BD5499" w:rsidP="002A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995E" w14:textId="77777777" w:rsidR="00BD5499" w:rsidRDefault="00BD5499" w:rsidP="002A604E">
      <w:r>
        <w:separator/>
      </w:r>
    </w:p>
  </w:footnote>
  <w:footnote w:type="continuationSeparator" w:id="0">
    <w:p w14:paraId="2520CCAA" w14:textId="77777777" w:rsidR="00BD5499" w:rsidRDefault="00BD5499" w:rsidP="002A6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B1563"/>
    <w:multiLevelType w:val="hybridMultilevel"/>
    <w:tmpl w:val="936E4ECA"/>
    <w:lvl w:ilvl="0" w:tplc="CA4A0B0E">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2E84F64"/>
    <w:multiLevelType w:val="hybridMultilevel"/>
    <w:tmpl w:val="F7A89BF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602258"/>
    <w:multiLevelType w:val="hybridMultilevel"/>
    <w:tmpl w:val="BCCEE2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B1179B"/>
    <w:multiLevelType w:val="hybridMultilevel"/>
    <w:tmpl w:val="785A9D50"/>
    <w:lvl w:ilvl="0" w:tplc="04090015">
      <w:start w:val="1"/>
      <w:numFmt w:val="taiwaneseCountingThousand"/>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28"/>
    <w:rsid w:val="000361BF"/>
    <w:rsid w:val="00183CC2"/>
    <w:rsid w:val="001E3632"/>
    <w:rsid w:val="002A604E"/>
    <w:rsid w:val="003238AB"/>
    <w:rsid w:val="003C0CF2"/>
    <w:rsid w:val="004A2F8A"/>
    <w:rsid w:val="004C13E0"/>
    <w:rsid w:val="0057386C"/>
    <w:rsid w:val="006140FA"/>
    <w:rsid w:val="006C3F14"/>
    <w:rsid w:val="007233E2"/>
    <w:rsid w:val="00751A31"/>
    <w:rsid w:val="00795829"/>
    <w:rsid w:val="00810C92"/>
    <w:rsid w:val="00891694"/>
    <w:rsid w:val="00894C30"/>
    <w:rsid w:val="0089511A"/>
    <w:rsid w:val="009154AB"/>
    <w:rsid w:val="009518AD"/>
    <w:rsid w:val="009673AA"/>
    <w:rsid w:val="00B8017F"/>
    <w:rsid w:val="00BD022E"/>
    <w:rsid w:val="00BD5499"/>
    <w:rsid w:val="00C067C3"/>
    <w:rsid w:val="00C161B5"/>
    <w:rsid w:val="00CD4728"/>
    <w:rsid w:val="00D07359"/>
    <w:rsid w:val="00F45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F7E0"/>
  <w15:chartTrackingRefBased/>
  <w15:docId w15:val="{6F941FBB-2AAE-4237-B6EC-73E3206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694"/>
    <w:pPr>
      <w:ind w:leftChars="200" w:left="480"/>
    </w:pPr>
  </w:style>
  <w:style w:type="table" w:styleId="a4">
    <w:name w:val="Table Grid"/>
    <w:basedOn w:val="a1"/>
    <w:uiPriority w:val="39"/>
    <w:rsid w:val="0089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04E"/>
    <w:pPr>
      <w:tabs>
        <w:tab w:val="center" w:pos="4153"/>
        <w:tab w:val="right" w:pos="8306"/>
      </w:tabs>
      <w:snapToGrid w:val="0"/>
    </w:pPr>
    <w:rPr>
      <w:sz w:val="20"/>
      <w:szCs w:val="20"/>
    </w:rPr>
  </w:style>
  <w:style w:type="character" w:customStyle="1" w:styleId="a6">
    <w:name w:val="頁首 字元"/>
    <w:basedOn w:val="a0"/>
    <w:link w:val="a5"/>
    <w:uiPriority w:val="99"/>
    <w:rsid w:val="002A604E"/>
    <w:rPr>
      <w:sz w:val="20"/>
      <w:szCs w:val="20"/>
    </w:rPr>
  </w:style>
  <w:style w:type="paragraph" w:styleId="a7">
    <w:name w:val="footer"/>
    <w:basedOn w:val="a"/>
    <w:link w:val="a8"/>
    <w:uiPriority w:val="99"/>
    <w:unhideWhenUsed/>
    <w:rsid w:val="002A604E"/>
    <w:pPr>
      <w:tabs>
        <w:tab w:val="center" w:pos="4153"/>
        <w:tab w:val="right" w:pos="8306"/>
      </w:tabs>
      <w:snapToGrid w:val="0"/>
    </w:pPr>
    <w:rPr>
      <w:sz w:val="20"/>
      <w:szCs w:val="20"/>
    </w:rPr>
  </w:style>
  <w:style w:type="character" w:customStyle="1" w:styleId="a8">
    <w:name w:val="頁尾 字元"/>
    <w:basedOn w:val="a0"/>
    <w:link w:val="a7"/>
    <w:uiPriority w:val="99"/>
    <w:rsid w:val="002A60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陳 威利</cp:lastModifiedBy>
  <cp:revision>9</cp:revision>
  <cp:lastPrinted>2021-03-17T07:18:00Z</cp:lastPrinted>
  <dcterms:created xsi:type="dcterms:W3CDTF">2021-03-17T06:52:00Z</dcterms:created>
  <dcterms:modified xsi:type="dcterms:W3CDTF">2021-03-19T00:32:00Z</dcterms:modified>
</cp:coreProperties>
</file>