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510"/>
      </w:tblGrid>
      <w:tr w:rsidR="00140C74" w:rsidRPr="000C0759" w14:paraId="0C4AB645" w14:textId="77777777" w:rsidTr="000C0759">
        <w:trPr>
          <w:trHeight w:val="333"/>
          <w:jc w:val="center"/>
        </w:trPr>
        <w:tc>
          <w:tcPr>
            <w:tcW w:w="9923" w:type="dxa"/>
            <w:gridSpan w:val="2"/>
            <w:tcBorders>
              <w:top w:val="nil"/>
              <w:left w:val="nil"/>
              <w:bottom w:val="nil"/>
              <w:right w:val="nil"/>
            </w:tcBorders>
            <w:vAlign w:val="center"/>
          </w:tcPr>
          <w:p w14:paraId="3453C21E" w14:textId="77777777" w:rsidR="00140C74" w:rsidRPr="000C0759" w:rsidRDefault="00140C74" w:rsidP="000851E8">
            <w:pPr>
              <w:pStyle w:val="1"/>
              <w:spacing w:before="0" w:beforeAutospacing="0" w:after="0" w:afterAutospacing="0" w:line="240" w:lineRule="atLeast"/>
              <w:jc w:val="center"/>
              <w:rPr>
                <w:rFonts w:ascii="Times New Roman" w:eastAsia="標楷體" w:hAnsi="Times New Roman" w:cs="Times New Roman"/>
                <w:sz w:val="36"/>
                <w:szCs w:val="36"/>
                <w:u w:val="words" w:color="FFFFFF" w:themeColor="background1"/>
              </w:rPr>
            </w:pPr>
            <w:bookmarkStart w:id="0" w:name="_GoBack"/>
            <w:bookmarkEnd w:id="0"/>
            <w:r w:rsidRPr="000C0759">
              <w:rPr>
                <w:rFonts w:ascii="Times New Roman" w:eastAsia="標楷體" w:hAnsi="Times New Roman" w:cs="Times New Roman"/>
                <w:sz w:val="36"/>
                <w:szCs w:val="36"/>
                <w:u w:val="words" w:color="FFFFFF" w:themeColor="background1"/>
              </w:rPr>
              <w:t>Zostavax</w:t>
            </w:r>
            <w:r w:rsidRPr="000C0759">
              <w:rPr>
                <w:rFonts w:ascii="Times New Roman" w:eastAsia="標楷體" w:hAnsi="Times New Roman" w:cs="Times New Roman"/>
                <w:sz w:val="36"/>
                <w:szCs w:val="36"/>
                <w:u w:val="words" w:color="FFFFFF" w:themeColor="background1"/>
              </w:rPr>
              <w:t>疫苗安全資訊風險溝通表</w:t>
            </w:r>
          </w:p>
        </w:tc>
      </w:tr>
      <w:tr w:rsidR="00140C74" w:rsidRPr="000C0759" w14:paraId="75A75DD0" w14:textId="77777777" w:rsidTr="000C0759">
        <w:trPr>
          <w:trHeight w:val="333"/>
          <w:jc w:val="center"/>
        </w:trPr>
        <w:tc>
          <w:tcPr>
            <w:tcW w:w="9923" w:type="dxa"/>
            <w:gridSpan w:val="2"/>
            <w:tcBorders>
              <w:top w:val="nil"/>
              <w:left w:val="nil"/>
              <w:right w:val="nil"/>
            </w:tcBorders>
            <w:vAlign w:val="center"/>
          </w:tcPr>
          <w:p w14:paraId="293F1F7A" w14:textId="384EF7A7" w:rsidR="00140C74" w:rsidRPr="000C0759" w:rsidRDefault="00140C74" w:rsidP="000851E8">
            <w:pPr>
              <w:pStyle w:val="1"/>
              <w:spacing w:before="0" w:beforeAutospacing="0" w:after="0" w:afterAutospacing="0" w:line="240" w:lineRule="atLeast"/>
              <w:jc w:val="right"/>
              <w:rPr>
                <w:rFonts w:ascii="Times New Roman" w:eastAsia="標楷體" w:hAnsi="Times New Roman" w:cs="Times New Roman"/>
                <w:b w:val="0"/>
                <w:sz w:val="24"/>
                <w:szCs w:val="24"/>
                <w:u w:val="words" w:color="FFFFFF" w:themeColor="background1"/>
              </w:rPr>
            </w:pPr>
            <w:r w:rsidRPr="000C0759">
              <w:rPr>
                <w:rFonts w:ascii="Times New Roman" w:eastAsia="標楷體" w:hAnsi="Times New Roman" w:cs="Times New Roman"/>
                <w:sz w:val="24"/>
                <w:szCs w:val="24"/>
                <w:u w:val="words" w:color="FFFFFF" w:themeColor="background1"/>
              </w:rPr>
              <w:t xml:space="preserve">  </w:t>
            </w:r>
            <w:r w:rsidRPr="000C0759">
              <w:rPr>
                <w:rFonts w:ascii="Times New Roman" w:eastAsia="標楷體" w:hAnsi="Times New Roman" w:cs="Times New Roman"/>
                <w:b w:val="0"/>
                <w:sz w:val="24"/>
                <w:szCs w:val="24"/>
                <w:u w:val="words" w:color="FFFFFF" w:themeColor="background1"/>
              </w:rPr>
              <w:t>製表日期：</w:t>
            </w:r>
            <w:r w:rsidR="00054840">
              <w:rPr>
                <w:rFonts w:ascii="Times New Roman" w:eastAsia="標楷體" w:hAnsi="Times New Roman" w:cs="Times New Roman" w:hint="eastAsia"/>
                <w:b w:val="0"/>
                <w:sz w:val="24"/>
                <w:szCs w:val="24"/>
                <w:u w:val="words" w:color="FFFFFF" w:themeColor="background1"/>
              </w:rPr>
              <w:t>110/7</w:t>
            </w:r>
          </w:p>
        </w:tc>
      </w:tr>
      <w:tr w:rsidR="00140C74" w:rsidRPr="000C0759" w14:paraId="730E8987" w14:textId="77777777" w:rsidTr="000C0759">
        <w:trPr>
          <w:trHeight w:val="333"/>
          <w:jc w:val="center"/>
        </w:trPr>
        <w:tc>
          <w:tcPr>
            <w:tcW w:w="2413" w:type="dxa"/>
            <w:vAlign w:val="center"/>
          </w:tcPr>
          <w:p w14:paraId="30C6F43E" w14:textId="77777777" w:rsidR="00140C74" w:rsidRPr="000C0759" w:rsidRDefault="00140C74" w:rsidP="000851E8">
            <w:pPr>
              <w:jc w:val="center"/>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藥品成分</w:t>
            </w:r>
          </w:p>
        </w:tc>
        <w:tc>
          <w:tcPr>
            <w:tcW w:w="7510" w:type="dxa"/>
          </w:tcPr>
          <w:p w14:paraId="5B94B5C7" w14:textId="7C7DDD81" w:rsidR="00140C74" w:rsidRPr="000C0759" w:rsidRDefault="00140C74" w:rsidP="000851E8">
            <w:pPr>
              <w:pStyle w:val="1"/>
              <w:tabs>
                <w:tab w:val="right" w:pos="7100"/>
              </w:tabs>
              <w:spacing w:line="240" w:lineRule="atLeast"/>
              <w:rPr>
                <w:rFonts w:ascii="Times New Roman" w:eastAsia="標楷體" w:hAnsi="Times New Roman" w:cs="Times New Roman"/>
                <w:b w:val="0"/>
                <w:sz w:val="24"/>
                <w:szCs w:val="24"/>
                <w:u w:val="words" w:color="FFFFFF" w:themeColor="background1"/>
              </w:rPr>
            </w:pPr>
            <w:proofErr w:type="gramStart"/>
            <w:r w:rsidRPr="000C0759">
              <w:rPr>
                <w:rFonts w:ascii="Times New Roman" w:eastAsia="標楷體" w:hAnsi="Times New Roman" w:cs="Times New Roman"/>
                <w:b w:val="0"/>
                <w:sz w:val="24"/>
                <w:szCs w:val="24"/>
                <w:u w:val="words" w:color="FFFFFF" w:themeColor="background1"/>
              </w:rPr>
              <w:t>活性減毒</w:t>
            </w:r>
            <w:proofErr w:type="gramEnd"/>
            <w:r w:rsidRPr="000C0759">
              <w:rPr>
                <w:rFonts w:ascii="Times New Roman" w:eastAsia="標楷體" w:hAnsi="Times New Roman" w:cs="Times New Roman"/>
                <w:b w:val="0"/>
                <w:sz w:val="24"/>
                <w:szCs w:val="24"/>
                <w:u w:val="words" w:color="FFFFFF" w:themeColor="background1"/>
              </w:rPr>
              <w:t>Oka/Merck</w:t>
            </w:r>
            <w:r w:rsidRPr="000C0759">
              <w:rPr>
                <w:rFonts w:ascii="Times New Roman" w:eastAsia="標楷體" w:hAnsi="Times New Roman" w:cs="Times New Roman"/>
                <w:b w:val="0"/>
                <w:sz w:val="24"/>
                <w:szCs w:val="24"/>
                <w:u w:val="words" w:color="FFFFFF" w:themeColor="background1"/>
              </w:rPr>
              <w:t>株水痘帶狀疱疹病毒</w:t>
            </w:r>
            <w:r w:rsidR="00D82AE0">
              <w:rPr>
                <w:rFonts w:ascii="Times New Roman" w:eastAsia="標楷體" w:hAnsi="Times New Roman" w:cs="Times New Roman" w:hint="eastAsia"/>
                <w:b w:val="0"/>
                <w:sz w:val="24"/>
                <w:szCs w:val="24"/>
                <w:u w:val="words" w:color="FFFFFF" w:themeColor="background1"/>
              </w:rPr>
              <w:t xml:space="preserve"> (</w:t>
            </w:r>
            <w:r w:rsidRPr="000C0759">
              <w:rPr>
                <w:rFonts w:ascii="Times New Roman" w:eastAsia="標楷體" w:hAnsi="Times New Roman" w:cs="Times New Roman"/>
                <w:b w:val="0"/>
                <w:sz w:val="24"/>
                <w:szCs w:val="24"/>
                <w:u w:val="words" w:color="FFFFFF" w:themeColor="background1"/>
              </w:rPr>
              <w:t xml:space="preserve">varicella-zoster </w:t>
            </w:r>
            <w:proofErr w:type="spellStart"/>
            <w:r w:rsidRPr="000C0759">
              <w:rPr>
                <w:rFonts w:ascii="Times New Roman" w:eastAsia="標楷體" w:hAnsi="Times New Roman" w:cs="Times New Roman"/>
                <w:b w:val="0"/>
                <w:sz w:val="24"/>
                <w:szCs w:val="24"/>
                <w:u w:val="words" w:color="FFFFFF" w:themeColor="background1"/>
              </w:rPr>
              <w:t>virus;VZV</w:t>
            </w:r>
            <w:proofErr w:type="spellEnd"/>
            <w:r w:rsidR="00D82AE0">
              <w:rPr>
                <w:rFonts w:ascii="Times New Roman" w:eastAsia="標楷體" w:hAnsi="Times New Roman" w:cs="Times New Roman" w:hint="eastAsia"/>
                <w:b w:val="0"/>
                <w:sz w:val="24"/>
                <w:szCs w:val="24"/>
                <w:u w:val="words" w:color="FFFFFF" w:themeColor="background1"/>
              </w:rPr>
              <w:t xml:space="preserve">) </w:t>
            </w:r>
          </w:p>
        </w:tc>
      </w:tr>
      <w:tr w:rsidR="00140C74" w:rsidRPr="000C0759" w14:paraId="29EAA27A" w14:textId="77777777" w:rsidTr="000C0759">
        <w:trPr>
          <w:trHeight w:val="333"/>
          <w:jc w:val="center"/>
        </w:trPr>
        <w:tc>
          <w:tcPr>
            <w:tcW w:w="2413" w:type="dxa"/>
            <w:vAlign w:val="center"/>
          </w:tcPr>
          <w:p w14:paraId="0FBEF203" w14:textId="77777777" w:rsidR="00140C74" w:rsidRPr="000C0759" w:rsidRDefault="00140C74" w:rsidP="000851E8">
            <w:pPr>
              <w:jc w:val="center"/>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藥品名稱</w:t>
            </w:r>
          </w:p>
          <w:p w14:paraId="2B571B35" w14:textId="77777777" w:rsidR="00140C74" w:rsidRPr="000C0759" w:rsidRDefault="00140C74" w:rsidP="000851E8">
            <w:pPr>
              <w:jc w:val="center"/>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及許可證字號</w:t>
            </w:r>
          </w:p>
        </w:tc>
        <w:tc>
          <w:tcPr>
            <w:tcW w:w="7510" w:type="dxa"/>
          </w:tcPr>
          <w:p w14:paraId="47BB89FC" w14:textId="77777777" w:rsidR="00140C74" w:rsidRPr="000C0759" w:rsidRDefault="00140C74" w:rsidP="000851E8">
            <w:pPr>
              <w:pStyle w:val="1"/>
              <w:spacing w:before="0" w:beforeAutospacing="0" w:after="0" w:afterAutospacing="0" w:line="240" w:lineRule="atLeast"/>
              <w:rPr>
                <w:rFonts w:ascii="Times New Roman" w:eastAsia="標楷體" w:hAnsi="Times New Roman" w:cs="Times New Roman"/>
                <w:b w:val="0"/>
                <w:bCs w:val="0"/>
                <w:sz w:val="24"/>
                <w:szCs w:val="24"/>
                <w:u w:val="words" w:color="FFFFFF" w:themeColor="background1"/>
              </w:rPr>
            </w:pPr>
            <w:r w:rsidRPr="000C0759">
              <w:rPr>
                <w:rFonts w:ascii="Times New Roman" w:eastAsia="標楷體" w:hAnsi="Times New Roman" w:cs="Times New Roman"/>
                <w:b w:val="0"/>
                <w:bCs w:val="0"/>
                <w:sz w:val="24"/>
                <w:szCs w:val="24"/>
                <w:u w:val="words" w:color="FFFFFF" w:themeColor="background1"/>
              </w:rPr>
              <w:t>衛生福利部核准</w:t>
            </w:r>
            <w:r w:rsidRPr="000C0759">
              <w:rPr>
                <w:rFonts w:ascii="Times New Roman" w:eastAsia="標楷體" w:hAnsi="Times New Roman" w:cs="Times New Roman"/>
                <w:b w:val="0"/>
                <w:bCs w:val="0"/>
                <w:sz w:val="24"/>
                <w:szCs w:val="24"/>
                <w:u w:val="words" w:color="FFFFFF" w:themeColor="background1"/>
              </w:rPr>
              <w:t>Zostavax vaccine</w:t>
            </w:r>
            <w:r w:rsidRPr="000C0759">
              <w:rPr>
                <w:rFonts w:ascii="Times New Roman" w:eastAsia="標楷體" w:hAnsi="Times New Roman" w:cs="Times New Roman"/>
                <w:b w:val="0"/>
                <w:bCs w:val="0"/>
                <w:sz w:val="24"/>
                <w:szCs w:val="24"/>
                <w:u w:val="words" w:color="FFFFFF" w:themeColor="background1"/>
              </w:rPr>
              <w:t>許可證共有</w:t>
            </w:r>
            <w:r w:rsidRPr="000C0759">
              <w:rPr>
                <w:rFonts w:ascii="Times New Roman" w:eastAsia="標楷體" w:hAnsi="Times New Roman" w:cs="Times New Roman"/>
                <w:b w:val="0"/>
                <w:bCs w:val="0"/>
                <w:sz w:val="24"/>
                <w:szCs w:val="24"/>
                <w:u w:val="words" w:color="FFFFFF" w:themeColor="background1"/>
              </w:rPr>
              <w:t>1</w:t>
            </w:r>
            <w:r w:rsidRPr="000C0759">
              <w:rPr>
                <w:rFonts w:ascii="Times New Roman" w:eastAsia="標楷體" w:hAnsi="Times New Roman" w:cs="Times New Roman"/>
                <w:b w:val="0"/>
                <w:bCs w:val="0"/>
                <w:sz w:val="24"/>
                <w:szCs w:val="24"/>
                <w:u w:val="words" w:color="FFFFFF" w:themeColor="background1"/>
              </w:rPr>
              <w:t>張。</w:t>
            </w:r>
          </w:p>
          <w:p w14:paraId="00A95833" w14:textId="77777777" w:rsidR="00140C74" w:rsidRPr="000C0759" w:rsidRDefault="00140C74" w:rsidP="000851E8">
            <w:pPr>
              <w:pStyle w:val="1"/>
              <w:spacing w:before="0" w:beforeAutospacing="0" w:after="0" w:afterAutospacing="0" w:line="240" w:lineRule="atLeast"/>
              <w:jc w:val="both"/>
              <w:rPr>
                <w:rFonts w:ascii="Times New Roman" w:eastAsia="標楷體" w:hAnsi="Times New Roman" w:cs="Times New Roman"/>
                <w:b w:val="0"/>
                <w:bCs w:val="0"/>
                <w:sz w:val="24"/>
                <w:szCs w:val="24"/>
                <w:u w:val="words" w:color="FFFFFF" w:themeColor="background1"/>
              </w:rPr>
            </w:pPr>
            <w:r w:rsidRPr="000C0759">
              <w:rPr>
                <w:rFonts w:ascii="Times New Roman" w:eastAsia="標楷體" w:hAnsi="Times New Roman" w:cs="Times New Roman"/>
                <w:b w:val="0"/>
                <w:bCs w:val="0"/>
                <w:sz w:val="24"/>
                <w:szCs w:val="24"/>
                <w:u w:val="words" w:color="FFFFFF" w:themeColor="background1"/>
              </w:rPr>
              <w:t>查詢網址：</w:t>
            </w:r>
          </w:p>
          <w:p w14:paraId="7BA95339" w14:textId="0E1AE2F9" w:rsidR="00140C74" w:rsidRPr="005C1992" w:rsidRDefault="00336E8E" w:rsidP="000851E8">
            <w:pPr>
              <w:pStyle w:val="1"/>
              <w:spacing w:before="0" w:beforeAutospacing="0" w:after="0" w:afterAutospacing="0" w:line="240" w:lineRule="atLeast"/>
              <w:jc w:val="both"/>
              <w:rPr>
                <w:rFonts w:ascii="Times New Roman" w:eastAsia="標楷體" w:hAnsi="Times New Roman" w:cs="Times New Roman"/>
                <w:b w:val="0"/>
                <w:bCs w:val="0"/>
                <w:sz w:val="24"/>
                <w:szCs w:val="24"/>
                <w:u w:val="single"/>
              </w:rPr>
            </w:pPr>
            <w:hyperlink r:id="rId8" w:history="1">
              <w:r w:rsidR="005C1992" w:rsidRPr="00857B01">
                <w:rPr>
                  <w:rStyle w:val="a4"/>
                  <w:rFonts w:ascii="Times New Roman" w:eastAsia="標楷體" w:hAnsi="Times New Roman"/>
                  <w:b w:val="0"/>
                  <w:bCs w:val="0"/>
                  <w:sz w:val="24"/>
                  <w:szCs w:val="24"/>
                </w:rPr>
                <w:t>https://info.fda.gov.tw/MLMS/H0001D.aspx?Type=Lic&amp;LicId=10000873</w:t>
              </w:r>
            </w:hyperlink>
          </w:p>
        </w:tc>
      </w:tr>
      <w:tr w:rsidR="00140C74" w:rsidRPr="000C0759" w14:paraId="2F05506F" w14:textId="77777777" w:rsidTr="000C0759">
        <w:trPr>
          <w:trHeight w:val="333"/>
          <w:jc w:val="center"/>
        </w:trPr>
        <w:tc>
          <w:tcPr>
            <w:tcW w:w="2413" w:type="dxa"/>
            <w:vAlign w:val="center"/>
          </w:tcPr>
          <w:p w14:paraId="2967EF93" w14:textId="77777777" w:rsidR="00140C74" w:rsidRPr="000C0759" w:rsidRDefault="00140C74" w:rsidP="000851E8">
            <w:pPr>
              <w:jc w:val="center"/>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適應症</w:t>
            </w:r>
          </w:p>
        </w:tc>
        <w:tc>
          <w:tcPr>
            <w:tcW w:w="7510" w:type="dxa"/>
          </w:tcPr>
          <w:p w14:paraId="135E984C" w14:textId="05408C51" w:rsidR="00140C74" w:rsidRPr="000C0759" w:rsidRDefault="00140C74" w:rsidP="000851E8">
            <w:pPr>
              <w:rPr>
                <w:rFonts w:ascii="Times New Roman" w:eastAsia="標楷體" w:hAnsi="Times New Roman" w:cs="Times New Roman"/>
                <w:szCs w:val="22"/>
                <w:u w:val="words" w:color="FFFFFF" w:themeColor="background1"/>
                <w:shd w:val="clear" w:color="auto" w:fill="FFFFFF"/>
              </w:rPr>
            </w:pPr>
            <w:r w:rsidRPr="000C0759">
              <w:rPr>
                <w:rFonts w:ascii="Times New Roman" w:eastAsia="標楷體" w:hAnsi="Times New Roman" w:cs="Times New Roman"/>
                <w:u w:val="words" w:color="FFFFFF" w:themeColor="background1"/>
              </w:rPr>
              <w:t>預防</w:t>
            </w:r>
            <w:r w:rsidRPr="000C0759">
              <w:rPr>
                <w:rFonts w:ascii="Times New Roman" w:eastAsia="標楷體" w:hAnsi="Times New Roman" w:cs="Times New Roman"/>
                <w:u w:val="words" w:color="FFFFFF" w:themeColor="background1"/>
              </w:rPr>
              <w:t>50-79</w:t>
            </w:r>
            <w:r w:rsidRPr="000C0759">
              <w:rPr>
                <w:rFonts w:ascii="Times New Roman" w:eastAsia="標楷體" w:hAnsi="Times New Roman" w:cs="Times New Roman"/>
                <w:u w:val="words" w:color="FFFFFF" w:themeColor="background1"/>
              </w:rPr>
              <w:t>歲之成人帶狀</w:t>
            </w:r>
            <w:r w:rsidRPr="000C0759">
              <w:rPr>
                <w:rFonts w:ascii="Times New Roman" w:eastAsia="標楷體" w:hAnsi="Times New Roman" w:cs="Times New Roman"/>
                <w:u w:val="words" w:color="FFFFFF" w:themeColor="background1"/>
                <w:shd w:val="clear" w:color="auto" w:fill="FFFFFF" w:themeFill="background1"/>
              </w:rPr>
              <w:t>疱</w:t>
            </w:r>
            <w:r w:rsidRPr="000C0759">
              <w:rPr>
                <w:rFonts w:ascii="Times New Roman" w:eastAsia="標楷體" w:hAnsi="Times New Roman" w:cs="Times New Roman"/>
                <w:u w:val="words" w:color="FFFFFF" w:themeColor="background1"/>
              </w:rPr>
              <w:t>疹</w:t>
            </w:r>
            <w:r w:rsidR="00170EC6">
              <w:rPr>
                <w:rFonts w:ascii="Times New Roman" w:eastAsia="標楷體" w:hAnsi="Times New Roman" w:cs="Times New Roman" w:hint="eastAsia"/>
                <w:u w:val="words" w:color="FFFFFF" w:themeColor="background1"/>
              </w:rPr>
              <w:t>。</w:t>
            </w:r>
          </w:p>
        </w:tc>
      </w:tr>
      <w:tr w:rsidR="00140C74" w:rsidRPr="000C0759" w14:paraId="59909AC1" w14:textId="77777777" w:rsidTr="000C0759">
        <w:trPr>
          <w:jc w:val="center"/>
        </w:trPr>
        <w:tc>
          <w:tcPr>
            <w:tcW w:w="2413" w:type="dxa"/>
            <w:vAlign w:val="center"/>
          </w:tcPr>
          <w:p w14:paraId="79EB8E55" w14:textId="77777777" w:rsidR="00140C74" w:rsidRPr="000C0759" w:rsidRDefault="00140C74" w:rsidP="000851E8">
            <w:pPr>
              <w:jc w:val="center"/>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藥理作用機轉</w:t>
            </w:r>
          </w:p>
        </w:tc>
        <w:tc>
          <w:tcPr>
            <w:tcW w:w="7510" w:type="dxa"/>
          </w:tcPr>
          <w:p w14:paraId="5CC0552E" w14:textId="4C67B511" w:rsidR="00140C74" w:rsidRPr="000C0759" w:rsidRDefault="00140C74" w:rsidP="000851E8">
            <w:pPr>
              <w:rPr>
                <w:rFonts w:ascii="Times New Roman" w:eastAsia="標楷體" w:hAnsi="Times New Roman" w:cs="Times New Roman"/>
                <w:highlight w:val="yellow"/>
                <w:u w:val="words" w:color="FFFFFF" w:themeColor="background1"/>
              </w:rPr>
            </w:pPr>
            <w:r w:rsidRPr="000C0759">
              <w:rPr>
                <w:rFonts w:ascii="Times New Roman" w:eastAsia="標楷體" w:hAnsi="Times New Roman" w:cs="Times New Roman"/>
                <w:u w:val="words" w:color="FFFFFF" w:themeColor="background1"/>
              </w:rPr>
              <w:t>發生帶狀疱疹的風險</w:t>
            </w:r>
            <w:r w:rsidR="00DC4734">
              <w:rPr>
                <w:rFonts w:ascii="Times New Roman" w:eastAsia="標楷體" w:hAnsi="Times New Roman" w:cs="Times New Roman" w:hint="eastAsia"/>
                <w:u w:val="words" w:color="FFFFFF" w:themeColor="background1"/>
              </w:rPr>
              <w:t>似乎和</w:t>
            </w:r>
            <w:r w:rsidRPr="000C0759">
              <w:rPr>
                <w:rFonts w:ascii="Times New Roman" w:eastAsia="標楷體" w:hAnsi="Times New Roman" w:cs="Times New Roman"/>
                <w:u w:val="words" w:color="FFFFFF" w:themeColor="background1"/>
              </w:rPr>
              <w:t>水痘帶狀疱疹病毒</w:t>
            </w:r>
            <w:r w:rsidR="00DC4734">
              <w:rPr>
                <w:rFonts w:ascii="Times New Roman" w:eastAsia="標楷體" w:hAnsi="Times New Roman" w:cs="Times New Roman" w:hint="eastAsia"/>
                <w:u w:val="words" w:color="FFFFFF" w:themeColor="background1"/>
              </w:rPr>
              <w:t xml:space="preserve"> (</w:t>
            </w:r>
            <w:r w:rsidRPr="000C0759">
              <w:rPr>
                <w:rFonts w:ascii="Times New Roman" w:eastAsia="標楷體" w:hAnsi="Times New Roman" w:cs="Times New Roman"/>
                <w:u w:val="words" w:color="FFFFFF" w:themeColor="background1"/>
              </w:rPr>
              <w:t>VZV</w:t>
            </w:r>
            <w:r w:rsidR="00DC4734">
              <w:rPr>
                <w:rFonts w:ascii="Times New Roman" w:eastAsia="標楷體" w:hAnsi="Times New Roman" w:cs="Times New Roman" w:hint="eastAsia"/>
                <w:u w:val="words" w:color="FFFFFF" w:themeColor="background1"/>
              </w:rPr>
              <w:t xml:space="preserve">) </w:t>
            </w:r>
            <w:r w:rsidRPr="000C0759">
              <w:rPr>
                <w:rFonts w:ascii="Times New Roman" w:eastAsia="標楷體" w:hAnsi="Times New Roman" w:cs="Times New Roman"/>
                <w:u w:val="words" w:color="FFFFFF" w:themeColor="background1"/>
              </w:rPr>
              <w:t>特異性免疫力的衰退有因果上的關聯性。</w:t>
            </w:r>
            <w:r w:rsidRPr="000C0759">
              <w:rPr>
                <w:rFonts w:ascii="Times New Roman" w:eastAsia="標楷體" w:hAnsi="Times New Roman" w:cs="Times New Roman"/>
                <w:u w:val="words" w:color="FFFFFF" w:themeColor="background1"/>
              </w:rPr>
              <w:t>Zostavax</w:t>
            </w:r>
            <w:r w:rsidRPr="000C0759">
              <w:rPr>
                <w:rFonts w:ascii="Times New Roman" w:eastAsia="標楷體" w:hAnsi="Times New Roman" w:cs="Times New Roman"/>
                <w:u w:val="words" w:color="FFFFFF" w:themeColor="background1"/>
              </w:rPr>
              <w:t>已證實可提高水痘帶狀疱疹病毒</w:t>
            </w:r>
            <w:r w:rsidR="00DC4734">
              <w:rPr>
                <w:rFonts w:ascii="Times New Roman" w:eastAsia="標楷體" w:hAnsi="Times New Roman" w:cs="Times New Roman" w:hint="eastAsia"/>
                <w:u w:val="words" w:color="FFFFFF" w:themeColor="background1"/>
              </w:rPr>
              <w:t xml:space="preserve"> (</w:t>
            </w:r>
            <w:r w:rsidRPr="000C0759">
              <w:rPr>
                <w:rFonts w:ascii="Times New Roman" w:eastAsia="標楷體" w:hAnsi="Times New Roman" w:cs="Times New Roman"/>
                <w:u w:val="words" w:color="FFFFFF" w:themeColor="background1"/>
              </w:rPr>
              <w:t>VZV</w:t>
            </w:r>
            <w:r w:rsidR="00DC4734">
              <w:rPr>
                <w:rFonts w:ascii="Times New Roman" w:eastAsia="標楷體" w:hAnsi="Times New Roman" w:cs="Times New Roman" w:hint="eastAsia"/>
                <w:u w:val="words" w:color="FFFFFF" w:themeColor="background1"/>
              </w:rPr>
              <w:t xml:space="preserve">) </w:t>
            </w:r>
            <w:r w:rsidRPr="000C0759">
              <w:rPr>
                <w:rFonts w:ascii="Times New Roman" w:eastAsia="標楷體" w:hAnsi="Times New Roman" w:cs="Times New Roman"/>
                <w:u w:val="words" w:color="FFFFFF" w:themeColor="background1"/>
              </w:rPr>
              <w:t>特異性免疫力，</w:t>
            </w:r>
            <w:r w:rsidR="00DC4734">
              <w:rPr>
                <w:rFonts w:ascii="Times New Roman" w:eastAsia="標楷體" w:hAnsi="Times New Roman" w:cs="Times New Roman" w:hint="eastAsia"/>
                <w:u w:val="words" w:color="FFFFFF" w:themeColor="background1"/>
              </w:rPr>
              <w:t>一般也</w:t>
            </w:r>
            <w:r w:rsidRPr="000C0759">
              <w:rPr>
                <w:rFonts w:ascii="Times New Roman" w:eastAsia="標楷體" w:hAnsi="Times New Roman" w:cs="Times New Roman"/>
                <w:u w:val="words" w:color="FFFFFF" w:themeColor="background1"/>
              </w:rPr>
              <w:t>認為</w:t>
            </w:r>
            <w:r w:rsidR="00DC4734">
              <w:rPr>
                <w:rFonts w:ascii="Times New Roman" w:eastAsia="標楷體" w:hAnsi="Times New Roman" w:cs="Times New Roman" w:hint="eastAsia"/>
                <w:u w:val="words" w:color="FFFFFF" w:themeColor="background1"/>
              </w:rPr>
              <w:t>這就是</w:t>
            </w:r>
            <w:r w:rsidRPr="000C0759">
              <w:rPr>
                <w:rFonts w:ascii="Times New Roman" w:eastAsia="標楷體" w:hAnsi="Times New Roman" w:cs="Times New Roman"/>
                <w:u w:val="words" w:color="FFFFFF" w:themeColor="background1"/>
              </w:rPr>
              <w:t>此疫苗據以預防帶狀疱疹及其併發症的作用機轉。</w:t>
            </w:r>
          </w:p>
        </w:tc>
      </w:tr>
      <w:tr w:rsidR="00140C74" w:rsidRPr="000C0759" w14:paraId="22B07C88" w14:textId="77777777" w:rsidTr="000C0759">
        <w:trPr>
          <w:trHeight w:val="896"/>
          <w:jc w:val="center"/>
        </w:trPr>
        <w:tc>
          <w:tcPr>
            <w:tcW w:w="2413" w:type="dxa"/>
            <w:vAlign w:val="center"/>
          </w:tcPr>
          <w:p w14:paraId="1B8DBE2D" w14:textId="77777777" w:rsidR="00140C74" w:rsidRPr="000C0759" w:rsidRDefault="00140C74" w:rsidP="000851E8">
            <w:pPr>
              <w:jc w:val="center"/>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訊息緣由</w:t>
            </w:r>
          </w:p>
        </w:tc>
        <w:tc>
          <w:tcPr>
            <w:tcW w:w="7510" w:type="dxa"/>
          </w:tcPr>
          <w:p w14:paraId="27C57295" w14:textId="7A7B69A5" w:rsidR="00140C74" w:rsidRPr="000C0759" w:rsidRDefault="00140C74" w:rsidP="000851E8">
            <w:pPr>
              <w:shd w:val="clear" w:color="auto" w:fill="FFFFFF"/>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2021/6/2</w:t>
            </w:r>
            <w:r w:rsidRPr="000C0759">
              <w:rPr>
                <w:rFonts w:ascii="Times New Roman" w:eastAsia="標楷體" w:hAnsi="Times New Roman" w:cs="Times New Roman"/>
                <w:u w:val="words" w:color="FFFFFF" w:themeColor="background1"/>
              </w:rPr>
              <w:t>澳洲藥品管理局</w:t>
            </w:r>
            <w:r w:rsidR="00DC4734">
              <w:rPr>
                <w:rFonts w:ascii="Times New Roman" w:eastAsia="標楷體" w:hAnsi="Times New Roman" w:cs="Times New Roman" w:hint="eastAsia"/>
                <w:u w:val="words" w:color="FFFFFF" w:themeColor="background1"/>
              </w:rPr>
              <w:t xml:space="preserve"> (</w:t>
            </w:r>
            <w:r w:rsidRPr="000C0759">
              <w:rPr>
                <w:rFonts w:ascii="Times New Roman" w:eastAsia="標楷體" w:hAnsi="Times New Roman" w:cs="Times New Roman"/>
                <w:u w:val="words" w:color="FFFFFF" w:themeColor="background1"/>
              </w:rPr>
              <w:t>TGA</w:t>
            </w:r>
            <w:r w:rsidR="00DC4734">
              <w:rPr>
                <w:rFonts w:ascii="Times New Roman" w:eastAsia="標楷體" w:hAnsi="Times New Roman" w:cs="Times New Roman" w:hint="eastAsia"/>
                <w:u w:val="words" w:color="FFFFFF" w:themeColor="background1"/>
              </w:rPr>
              <w:t xml:space="preserve">) </w:t>
            </w:r>
            <w:r w:rsidRPr="000C0759">
              <w:rPr>
                <w:rFonts w:ascii="Times New Roman" w:eastAsia="標楷體" w:hAnsi="Times New Roman" w:cs="Times New Roman"/>
                <w:u w:val="words" w:color="FFFFFF" w:themeColor="background1"/>
              </w:rPr>
              <w:t>發布</w:t>
            </w:r>
            <w:r w:rsidRPr="000C0759">
              <w:rPr>
                <w:rFonts w:ascii="Times New Roman" w:eastAsia="標楷體" w:hAnsi="Times New Roman" w:cs="Times New Roman"/>
                <w:u w:val="words" w:color="FFFFFF" w:themeColor="background1"/>
              </w:rPr>
              <w:t xml:space="preserve">Zostavax </w:t>
            </w:r>
            <w:r w:rsidRPr="000C0759">
              <w:rPr>
                <w:rFonts w:ascii="Times New Roman" w:eastAsia="標楷體" w:hAnsi="Times New Roman" w:cs="Times New Roman"/>
                <w:u w:val="words" w:color="FFFFFF" w:themeColor="background1"/>
              </w:rPr>
              <w:t>疫苗具有致死性瀰漫性疫苗病毒株水痘帶狀疱疹病毒感染</w:t>
            </w:r>
            <w:r w:rsidR="00027BEF">
              <w:rPr>
                <w:rFonts w:ascii="Times New Roman" w:eastAsia="標楷體" w:hAnsi="Times New Roman" w:cs="Times New Roman" w:hint="eastAsia"/>
                <w:u w:val="words" w:color="FFFFFF" w:themeColor="background1"/>
              </w:rPr>
              <w:t xml:space="preserve"> (</w:t>
            </w:r>
            <w:r w:rsidRPr="000C0759">
              <w:rPr>
                <w:rFonts w:ascii="Times New Roman" w:eastAsia="標楷體" w:hAnsi="Times New Roman" w:cs="Times New Roman"/>
                <w:u w:val="words" w:color="FFFFFF" w:themeColor="background1"/>
              </w:rPr>
              <w:t>fatal disseminated vaccine strain varicella-zoster virus infection</w:t>
            </w:r>
            <w:r w:rsidR="00027BEF">
              <w:rPr>
                <w:rFonts w:ascii="Times New Roman" w:eastAsia="標楷體" w:hAnsi="Times New Roman" w:cs="Times New Roman" w:hint="eastAsia"/>
                <w:u w:val="words" w:color="FFFFFF" w:themeColor="background1"/>
              </w:rPr>
              <w:t xml:space="preserve">) </w:t>
            </w:r>
            <w:r w:rsidRPr="000C0759">
              <w:rPr>
                <w:rFonts w:ascii="Times New Roman" w:eastAsia="標楷體" w:hAnsi="Times New Roman" w:cs="Times New Roman"/>
                <w:u w:val="words" w:color="FFFFFF" w:themeColor="background1"/>
              </w:rPr>
              <w:t>風險</w:t>
            </w:r>
            <w:r w:rsidR="00027BEF">
              <w:rPr>
                <w:rFonts w:ascii="Times New Roman" w:eastAsia="標楷體" w:hAnsi="Times New Roman" w:cs="Times New Roman" w:hint="eastAsia"/>
                <w:u w:val="words" w:color="FFFFFF" w:themeColor="background1"/>
              </w:rPr>
              <w:t>之</w:t>
            </w:r>
            <w:r w:rsidRPr="000C0759">
              <w:rPr>
                <w:rFonts w:ascii="Times New Roman" w:eastAsia="標楷體" w:hAnsi="Times New Roman" w:cs="Times New Roman"/>
                <w:u w:val="words" w:color="FFFFFF" w:themeColor="background1"/>
              </w:rPr>
              <w:t>安全資訊</w:t>
            </w:r>
            <w:r w:rsidR="00DC7DFF">
              <w:rPr>
                <w:rFonts w:ascii="Times New Roman" w:eastAsia="標楷體" w:hAnsi="Times New Roman" w:cs="Times New Roman" w:hint="eastAsia"/>
                <w:u w:val="words" w:color="FFFFFF" w:themeColor="background1"/>
              </w:rPr>
              <w:t>，並</w:t>
            </w:r>
            <w:r w:rsidRPr="000C0759">
              <w:rPr>
                <w:rFonts w:ascii="Times New Roman" w:eastAsia="標楷體" w:hAnsi="Times New Roman" w:cs="Times New Roman"/>
                <w:u w:val="words" w:color="FFFFFF" w:themeColor="background1"/>
              </w:rPr>
              <w:t>要求</w:t>
            </w:r>
            <w:r w:rsidR="00027BEF">
              <w:rPr>
                <w:rFonts w:ascii="Times New Roman" w:eastAsia="標楷體" w:hAnsi="Times New Roman" w:cs="Times New Roman" w:hint="eastAsia"/>
                <w:u w:val="words" w:color="FFFFFF" w:themeColor="background1"/>
              </w:rPr>
              <w:t>該藥品許可證持有商</w:t>
            </w:r>
            <w:r w:rsidR="00DC7DFF">
              <w:rPr>
                <w:rFonts w:ascii="Times New Roman" w:eastAsia="標楷體" w:hAnsi="Times New Roman" w:cs="Times New Roman" w:hint="eastAsia"/>
                <w:u w:val="words" w:color="FFFFFF" w:themeColor="background1"/>
              </w:rPr>
              <w:t>採取進一步風險管控措施，包含</w:t>
            </w:r>
            <w:r w:rsidR="00027BEF">
              <w:rPr>
                <w:rFonts w:ascii="Times New Roman" w:eastAsia="標楷體" w:hAnsi="Times New Roman" w:cs="Times New Roman" w:hint="eastAsia"/>
                <w:u w:val="words" w:color="FFFFFF" w:themeColor="background1"/>
              </w:rPr>
              <w:t>於</w:t>
            </w:r>
            <w:r w:rsidRPr="000C0759">
              <w:rPr>
                <w:rFonts w:ascii="Times New Roman" w:eastAsia="標楷體" w:hAnsi="Times New Roman" w:cs="Times New Roman"/>
                <w:u w:val="words" w:color="FFFFFF" w:themeColor="background1"/>
              </w:rPr>
              <w:t>仿單加</w:t>
            </w:r>
            <w:r w:rsidR="00DC7DFF">
              <w:rPr>
                <w:rFonts w:ascii="Times New Roman" w:eastAsia="標楷體" w:hAnsi="Times New Roman" w:cs="Times New Roman" w:hint="eastAsia"/>
                <w:u w:val="words" w:color="FFFFFF" w:themeColor="background1"/>
              </w:rPr>
              <w:t>刊</w:t>
            </w:r>
            <w:r w:rsidRPr="000C0759">
              <w:rPr>
                <w:rFonts w:ascii="Times New Roman" w:eastAsia="標楷體" w:hAnsi="Times New Roman" w:cs="Times New Roman"/>
                <w:u w:val="words" w:color="FFFFFF" w:themeColor="background1"/>
              </w:rPr>
              <w:t>加框警語</w:t>
            </w:r>
            <w:r w:rsidR="00DC7DFF">
              <w:rPr>
                <w:rFonts w:ascii="Times New Roman" w:eastAsia="標楷體" w:hAnsi="Times New Roman" w:cs="Times New Roman" w:hint="eastAsia"/>
                <w:u w:val="words" w:color="FFFFFF" w:themeColor="background1"/>
              </w:rPr>
              <w:t>（說明</w:t>
            </w:r>
            <w:r w:rsidRPr="000C0759">
              <w:rPr>
                <w:rFonts w:ascii="Times New Roman" w:eastAsia="標楷體" w:hAnsi="Times New Roman" w:cs="Times New Roman"/>
                <w:u w:val="words" w:color="FFFFFF" w:themeColor="background1"/>
              </w:rPr>
              <w:t>施打前需進行篩檢與相關風險評估，以及發生疑似感染之相關處置</w:t>
            </w:r>
            <w:r w:rsidR="00DC7DFF">
              <w:rPr>
                <w:rFonts w:ascii="Times New Roman" w:eastAsia="標楷體" w:hAnsi="Times New Roman" w:cs="Times New Roman" w:hint="eastAsia"/>
                <w:u w:val="words" w:color="FFFFFF" w:themeColor="background1"/>
              </w:rPr>
              <w:t>）、提供病人小卡及發送致醫療人員函等</w:t>
            </w:r>
            <w:r w:rsidRPr="000C0759">
              <w:rPr>
                <w:rFonts w:ascii="Times New Roman" w:eastAsia="標楷體" w:hAnsi="Times New Roman" w:cs="Times New Roman"/>
                <w:u w:val="words" w:color="FFFFFF" w:themeColor="background1"/>
              </w:rPr>
              <w:t>。</w:t>
            </w:r>
          </w:p>
          <w:p w14:paraId="37827432" w14:textId="44BEE6D2" w:rsidR="00140C74" w:rsidRPr="00417602" w:rsidRDefault="00140C74" w:rsidP="000851E8">
            <w:pPr>
              <w:shd w:val="clear" w:color="auto" w:fill="FFFFFF"/>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網址：</w:t>
            </w:r>
            <w:hyperlink r:id="rId9" w:history="1">
              <w:r w:rsidR="00FA13ED" w:rsidRPr="00857B01">
                <w:rPr>
                  <w:rStyle w:val="a4"/>
                  <w:rFonts w:ascii="Times New Roman" w:eastAsia="標楷體" w:hAnsi="Times New Roman"/>
                </w:rPr>
                <w:t>https://www.tga.gov.au/alert/zostavax-vaccine-2</w:t>
              </w:r>
            </w:hyperlink>
          </w:p>
        </w:tc>
      </w:tr>
      <w:tr w:rsidR="00140C74" w:rsidRPr="000C0759" w14:paraId="0F3DC83C" w14:textId="77777777" w:rsidTr="000C0759">
        <w:trPr>
          <w:trHeight w:val="896"/>
          <w:jc w:val="center"/>
        </w:trPr>
        <w:tc>
          <w:tcPr>
            <w:tcW w:w="2413" w:type="dxa"/>
            <w:vAlign w:val="center"/>
          </w:tcPr>
          <w:p w14:paraId="67A62321" w14:textId="77777777" w:rsidR="00140C74" w:rsidRPr="000C0759" w:rsidRDefault="00140C74" w:rsidP="000851E8">
            <w:pPr>
              <w:jc w:val="center"/>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藥品安全有關資訊分析及描述</w:t>
            </w:r>
          </w:p>
        </w:tc>
        <w:tc>
          <w:tcPr>
            <w:tcW w:w="7510" w:type="dxa"/>
          </w:tcPr>
          <w:p w14:paraId="6B9E8BE4" w14:textId="708AE32F" w:rsidR="00140C74" w:rsidRPr="00FA13ED" w:rsidRDefault="00140C74" w:rsidP="00FA13ED">
            <w:pPr>
              <w:pStyle w:val="a3"/>
              <w:numPr>
                <w:ilvl w:val="0"/>
                <w:numId w:val="9"/>
              </w:numPr>
              <w:shd w:val="clear" w:color="auto" w:fill="FFFFFF"/>
              <w:ind w:leftChars="0" w:left="480" w:hanging="480"/>
              <w:jc w:val="both"/>
              <w:rPr>
                <w:rFonts w:ascii="Times New Roman" w:eastAsia="標楷體" w:hAnsi="Times New Roman" w:cs="Times New Roman"/>
              </w:rPr>
            </w:pPr>
            <w:r w:rsidRPr="00FA13ED">
              <w:rPr>
                <w:rFonts w:ascii="Times New Roman" w:eastAsia="標楷體" w:hAnsi="Times New Roman" w:cs="Times New Roman"/>
              </w:rPr>
              <w:t>澳洲</w:t>
            </w:r>
            <w:r w:rsidRPr="00FA13ED">
              <w:rPr>
                <w:rFonts w:ascii="Times New Roman" w:eastAsia="標楷體" w:hAnsi="Times New Roman" w:cs="Times New Roman"/>
              </w:rPr>
              <w:t>TGA</w:t>
            </w:r>
            <w:r w:rsidR="00FA13ED" w:rsidRPr="00FA13ED">
              <w:rPr>
                <w:rFonts w:ascii="Times New Roman" w:eastAsia="標楷體" w:hAnsi="Times New Roman" w:cs="Times New Roman"/>
              </w:rPr>
              <w:t>曾多次針對</w:t>
            </w:r>
            <w:r w:rsidRPr="00FA13ED">
              <w:rPr>
                <w:rFonts w:ascii="Times New Roman" w:eastAsia="標楷體" w:hAnsi="Times New Roman" w:cs="Times New Roman"/>
              </w:rPr>
              <w:t>接種</w:t>
            </w:r>
            <w:r w:rsidRPr="00FA13ED">
              <w:rPr>
                <w:rFonts w:ascii="Times New Roman" w:eastAsia="標楷體" w:hAnsi="Times New Roman" w:cs="Times New Roman"/>
              </w:rPr>
              <w:t>Zostavax</w:t>
            </w:r>
            <w:r w:rsidRPr="00FA13ED">
              <w:rPr>
                <w:rFonts w:ascii="Times New Roman" w:eastAsia="標楷體" w:hAnsi="Times New Roman" w:cs="Times New Roman"/>
              </w:rPr>
              <w:t>疫苗後</w:t>
            </w:r>
            <w:r w:rsidR="00DC7DFF" w:rsidRPr="00FA13ED">
              <w:rPr>
                <w:rFonts w:ascii="Times New Roman" w:eastAsia="標楷體" w:hAnsi="Times New Roman" w:cs="Times New Roman"/>
              </w:rPr>
              <w:t>，</w:t>
            </w:r>
            <w:r w:rsidRPr="00FA13ED">
              <w:rPr>
                <w:rFonts w:ascii="Times New Roman" w:eastAsia="標楷體" w:hAnsi="Times New Roman" w:cs="Times New Roman"/>
              </w:rPr>
              <w:t>發生瀰漫性疫苗病毒株水痘帶狀疱疹病毒感染之風險發布安全性警訊</w:t>
            </w:r>
            <w:r w:rsidR="00FA13ED" w:rsidRPr="00FA13ED">
              <w:rPr>
                <w:rFonts w:ascii="Times New Roman" w:eastAsia="標楷體" w:hAnsi="Times New Roman" w:cs="Times New Roman"/>
              </w:rPr>
              <w:t>，目前已知當免疫抑制程度愈大，發生瀰漫性疫苗病毒株水痘帶狀疱疹病毒感染之風險愈高。該國</w:t>
            </w:r>
            <w:r w:rsidRPr="00FA13ED">
              <w:rPr>
                <w:rFonts w:ascii="Times New Roman" w:eastAsia="標楷體" w:hAnsi="Times New Roman" w:cs="Times New Roman"/>
              </w:rPr>
              <w:t>過去曾接獲</w:t>
            </w:r>
            <w:r w:rsidRPr="00FA13ED">
              <w:rPr>
                <w:rFonts w:ascii="Times New Roman" w:eastAsia="標楷體" w:hAnsi="Times New Roman" w:cs="Times New Roman"/>
              </w:rPr>
              <w:t>3</w:t>
            </w:r>
            <w:r w:rsidRPr="00FA13ED">
              <w:rPr>
                <w:rFonts w:ascii="Times New Roman" w:eastAsia="標楷體" w:hAnsi="Times New Roman" w:cs="Times New Roman"/>
              </w:rPr>
              <w:t>例相關死亡案件</w:t>
            </w:r>
            <w:r w:rsidR="00FA13ED" w:rsidRPr="00FA13ED">
              <w:rPr>
                <w:rFonts w:ascii="Times New Roman" w:eastAsia="標楷體" w:hAnsi="Times New Roman" w:cs="Times New Roman"/>
              </w:rPr>
              <w:t>之通報</w:t>
            </w:r>
            <w:r w:rsidRPr="00FA13ED">
              <w:rPr>
                <w:rFonts w:ascii="Times New Roman" w:eastAsia="標楷體" w:hAnsi="Times New Roman" w:cs="Times New Roman"/>
              </w:rPr>
              <w:t>，其中</w:t>
            </w:r>
            <w:r w:rsidR="00FA13ED" w:rsidRPr="00FA13ED">
              <w:rPr>
                <w:rFonts w:ascii="Times New Roman" w:eastAsia="標楷體" w:hAnsi="Times New Roman" w:cs="Times New Roman"/>
              </w:rPr>
              <w:t>亦</w:t>
            </w:r>
            <w:r w:rsidRPr="00FA13ED">
              <w:rPr>
                <w:rFonts w:ascii="Times New Roman" w:eastAsia="標楷體" w:hAnsi="Times New Roman" w:cs="Times New Roman"/>
              </w:rPr>
              <w:t>有使用低劑量免疫抑制劑的病人</w:t>
            </w:r>
            <w:r w:rsidR="00FA13ED" w:rsidRPr="00FA13ED">
              <w:rPr>
                <w:rFonts w:ascii="Times New Roman" w:eastAsia="標楷體" w:hAnsi="Times New Roman" w:cs="Times New Roman"/>
              </w:rPr>
              <w:t>，澳洲</w:t>
            </w:r>
            <w:r w:rsidR="00FA13ED" w:rsidRPr="00FA13ED">
              <w:rPr>
                <w:rFonts w:ascii="Times New Roman" w:eastAsia="標楷體" w:hAnsi="Times New Roman" w:cs="Times New Roman"/>
              </w:rPr>
              <w:t>TGA</w:t>
            </w:r>
            <w:r w:rsidR="00FA13ED" w:rsidRPr="00FA13ED">
              <w:rPr>
                <w:rFonts w:ascii="Times New Roman" w:eastAsia="標楷體" w:hAnsi="Times New Roman" w:cs="Times New Roman"/>
              </w:rPr>
              <w:t>將持續密切監控該風險</w:t>
            </w:r>
            <w:r w:rsidRPr="00FA13ED">
              <w:rPr>
                <w:rFonts w:ascii="Times New Roman" w:eastAsia="標楷體" w:hAnsi="Times New Roman" w:cs="Times New Roman"/>
              </w:rPr>
              <w:t>。</w:t>
            </w:r>
          </w:p>
          <w:p w14:paraId="3C69A10A" w14:textId="6FD5F3DD" w:rsidR="00140C74" w:rsidRPr="0009302B" w:rsidRDefault="00140C74" w:rsidP="0009302B">
            <w:pPr>
              <w:pStyle w:val="a3"/>
              <w:numPr>
                <w:ilvl w:val="0"/>
                <w:numId w:val="9"/>
              </w:numPr>
              <w:shd w:val="clear" w:color="auto" w:fill="FFFFFF"/>
              <w:ind w:leftChars="0" w:left="480" w:hanging="480"/>
              <w:jc w:val="both"/>
              <w:rPr>
                <w:rFonts w:ascii="Times New Roman" w:eastAsia="標楷體" w:hAnsi="Times New Roman" w:cs="Times New Roman"/>
                <w:color w:val="000000" w:themeColor="text1"/>
              </w:rPr>
            </w:pPr>
            <w:r w:rsidRPr="0009302B">
              <w:rPr>
                <w:rFonts w:ascii="Times New Roman" w:eastAsia="標楷體" w:hAnsi="Times New Roman" w:cs="Times New Roman"/>
                <w:color w:val="000000" w:themeColor="text1"/>
              </w:rPr>
              <w:t>澳洲</w:t>
            </w:r>
            <w:r w:rsidR="00417602">
              <w:rPr>
                <w:rFonts w:ascii="Times New Roman" w:eastAsia="標楷體" w:hAnsi="Times New Roman" w:cs="Times New Roman" w:hint="eastAsia"/>
                <w:color w:val="000000" w:themeColor="text1"/>
              </w:rPr>
              <w:t>TGA</w:t>
            </w:r>
            <w:r w:rsidR="00354DEB" w:rsidRPr="0009302B">
              <w:rPr>
                <w:rFonts w:ascii="Times New Roman" w:eastAsia="標楷體" w:hAnsi="Times New Roman" w:cs="Times New Roman" w:hint="eastAsia"/>
                <w:color w:val="000000" w:themeColor="text1"/>
              </w:rPr>
              <w:t>已將</w:t>
            </w:r>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疫苗</w:t>
            </w:r>
            <w:r w:rsidR="00354DEB" w:rsidRPr="0009302B">
              <w:rPr>
                <w:rFonts w:ascii="Times New Roman" w:eastAsia="標楷體" w:hAnsi="Times New Roman" w:cs="Times New Roman" w:hint="eastAsia"/>
                <w:color w:val="000000" w:themeColor="text1"/>
              </w:rPr>
              <w:t>禁用</w:t>
            </w:r>
            <w:r w:rsidRPr="0009302B">
              <w:rPr>
                <w:rFonts w:ascii="Times New Roman" w:eastAsia="標楷體" w:hAnsi="Times New Roman" w:cs="Times New Roman"/>
                <w:color w:val="000000" w:themeColor="text1"/>
              </w:rPr>
              <w:t>於目前或近期有嚴重免疫功能不全狀態之病人，包括原發性</w:t>
            </w:r>
            <w:r w:rsidR="00354DEB" w:rsidRPr="0009302B">
              <w:rPr>
                <w:rFonts w:ascii="Times New Roman" w:eastAsia="標楷體" w:hAnsi="Times New Roman" w:cs="Times New Roman" w:hint="eastAsia"/>
                <w:color w:val="000000" w:themeColor="text1"/>
              </w:rPr>
              <w:t>、</w:t>
            </w:r>
            <w:r w:rsidRPr="0009302B">
              <w:rPr>
                <w:rFonts w:ascii="Times New Roman" w:eastAsia="標楷體" w:hAnsi="Times New Roman" w:cs="Times New Roman"/>
                <w:color w:val="000000" w:themeColor="text1"/>
              </w:rPr>
              <w:t>後天性疾病或接受免疫抑制治療者。</w:t>
            </w:r>
          </w:p>
          <w:p w14:paraId="3B53D62C" w14:textId="7B6AE40D" w:rsidR="00140C74" w:rsidRPr="0009302B" w:rsidRDefault="00354DEB" w:rsidP="0009302B">
            <w:pPr>
              <w:pStyle w:val="a3"/>
              <w:numPr>
                <w:ilvl w:val="0"/>
                <w:numId w:val="9"/>
              </w:numPr>
              <w:shd w:val="clear" w:color="auto" w:fill="FFFFFF"/>
              <w:ind w:leftChars="0" w:left="480" w:hanging="480"/>
              <w:jc w:val="both"/>
              <w:rPr>
                <w:rFonts w:ascii="Times New Roman" w:eastAsia="標楷體" w:hAnsi="Times New Roman" w:cs="Times New Roman"/>
                <w:color w:val="000000" w:themeColor="text1"/>
              </w:rPr>
            </w:pPr>
            <w:r w:rsidRPr="0009302B">
              <w:rPr>
                <w:rFonts w:ascii="Times New Roman" w:eastAsia="標楷體" w:hAnsi="Times New Roman" w:cs="Times New Roman" w:hint="eastAsia"/>
                <w:color w:val="000000" w:themeColor="text1"/>
              </w:rPr>
              <w:t>針對</w:t>
            </w:r>
            <w:r w:rsidR="00140C74" w:rsidRPr="0009302B">
              <w:rPr>
                <w:rFonts w:ascii="Times New Roman" w:eastAsia="標楷體" w:hAnsi="Times New Roman" w:cs="Times New Roman"/>
                <w:color w:val="000000" w:themeColor="text1"/>
              </w:rPr>
              <w:t>此項安全性疑慮</w:t>
            </w:r>
            <w:r w:rsidRPr="0009302B">
              <w:rPr>
                <w:rFonts w:ascii="Times New Roman" w:eastAsia="標楷體" w:hAnsi="Times New Roman" w:cs="Times New Roman" w:hint="eastAsia"/>
                <w:color w:val="000000" w:themeColor="text1"/>
              </w:rPr>
              <w:t>，澳洲</w:t>
            </w:r>
            <w:r w:rsidRPr="0009302B">
              <w:rPr>
                <w:rFonts w:ascii="Times New Roman" w:eastAsia="標楷體" w:hAnsi="Times New Roman" w:cs="Times New Roman" w:hint="eastAsia"/>
                <w:color w:val="000000" w:themeColor="text1"/>
              </w:rPr>
              <w:t>TGA</w:t>
            </w:r>
            <w:r w:rsidRPr="0009302B">
              <w:rPr>
                <w:rFonts w:ascii="Times New Roman" w:eastAsia="標楷體" w:hAnsi="Times New Roman" w:cs="Times New Roman" w:hint="eastAsia"/>
                <w:color w:val="000000" w:themeColor="text1"/>
              </w:rPr>
              <w:t>根據</w:t>
            </w:r>
            <w:r w:rsidR="00140C74" w:rsidRPr="0009302B">
              <w:rPr>
                <w:rFonts w:ascii="Times New Roman" w:eastAsia="標楷體" w:hAnsi="Times New Roman" w:cs="Times New Roman"/>
                <w:color w:val="000000" w:themeColor="text1"/>
              </w:rPr>
              <w:t>調查報告</w:t>
            </w:r>
            <w:r w:rsidRPr="0009302B">
              <w:rPr>
                <w:rFonts w:ascii="Times New Roman" w:eastAsia="標楷體" w:hAnsi="Times New Roman" w:cs="Times New Roman" w:hint="eastAsia"/>
                <w:color w:val="000000" w:themeColor="text1"/>
              </w:rPr>
              <w:t>結果認為</w:t>
            </w:r>
            <w:r w:rsidR="00140C74"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hint="eastAsia"/>
                <w:color w:val="000000" w:themeColor="text1"/>
              </w:rPr>
              <w:t>之</w:t>
            </w:r>
            <w:r w:rsidR="00140C74" w:rsidRPr="0009302B">
              <w:rPr>
                <w:rFonts w:ascii="Times New Roman" w:eastAsia="標楷體" w:hAnsi="Times New Roman" w:cs="Times New Roman"/>
                <w:color w:val="000000" w:themeColor="text1"/>
              </w:rPr>
              <w:t>效益仍高於風險，</w:t>
            </w:r>
            <w:r w:rsidRPr="0009302B">
              <w:rPr>
                <w:rFonts w:ascii="Times New Roman" w:eastAsia="標楷體" w:hAnsi="Times New Roman" w:cs="Times New Roman" w:hint="eastAsia"/>
                <w:color w:val="000000" w:themeColor="text1"/>
              </w:rPr>
              <w:t>惟</w:t>
            </w:r>
            <w:r w:rsidR="00140C74" w:rsidRPr="0009302B">
              <w:rPr>
                <w:rFonts w:ascii="Times New Roman" w:eastAsia="標楷體" w:hAnsi="Times New Roman" w:cs="Times New Roman"/>
                <w:color w:val="000000" w:themeColor="text1"/>
              </w:rPr>
              <w:t>需</w:t>
            </w:r>
            <w:r w:rsidR="00B9214B" w:rsidRPr="0009302B">
              <w:rPr>
                <w:rFonts w:ascii="Times New Roman" w:eastAsia="標楷體" w:hAnsi="Times New Roman" w:cs="Times New Roman"/>
                <w:color w:val="000000" w:themeColor="text1"/>
              </w:rPr>
              <w:t>要求</w:t>
            </w:r>
            <w:r w:rsidR="00B9214B" w:rsidRPr="0009302B">
              <w:rPr>
                <w:rFonts w:ascii="Times New Roman" w:eastAsia="標楷體" w:hAnsi="Times New Roman" w:cs="Times New Roman"/>
                <w:color w:val="000000" w:themeColor="text1"/>
              </w:rPr>
              <w:t>Zostavax</w:t>
            </w:r>
            <w:r w:rsidR="00B9214B" w:rsidRPr="0009302B">
              <w:rPr>
                <w:rFonts w:ascii="Times New Roman" w:eastAsia="標楷體" w:hAnsi="Times New Roman" w:cs="Times New Roman"/>
                <w:color w:val="000000" w:themeColor="text1"/>
              </w:rPr>
              <w:t>許可證持有商</w:t>
            </w:r>
            <w:r w:rsidR="00B9214B" w:rsidRPr="0009302B">
              <w:rPr>
                <w:rFonts w:ascii="Times New Roman" w:eastAsia="標楷體" w:hAnsi="Times New Roman" w:cs="Times New Roman" w:hint="eastAsia"/>
                <w:color w:val="000000" w:themeColor="text1"/>
              </w:rPr>
              <w:t>執行下列</w:t>
            </w:r>
            <w:r w:rsidR="00140C74" w:rsidRPr="0009302B">
              <w:rPr>
                <w:rFonts w:ascii="Times New Roman" w:eastAsia="標楷體" w:hAnsi="Times New Roman" w:cs="Times New Roman"/>
                <w:color w:val="000000" w:themeColor="text1"/>
              </w:rPr>
              <w:t>風險管控措施：</w:t>
            </w:r>
          </w:p>
          <w:p w14:paraId="1A4C3226" w14:textId="381106E9" w:rsidR="00140C74" w:rsidRPr="000C0759" w:rsidRDefault="00140C74" w:rsidP="00417602">
            <w:pPr>
              <w:pStyle w:val="a3"/>
              <w:numPr>
                <w:ilvl w:val="0"/>
                <w:numId w:val="4"/>
              </w:numPr>
              <w:shd w:val="clear" w:color="auto" w:fill="FFFFFF"/>
              <w:ind w:leftChars="0" w:hanging="383"/>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提供病人警</w:t>
            </w:r>
            <w:proofErr w:type="gramStart"/>
            <w:r w:rsidRPr="000C0759">
              <w:rPr>
                <w:rFonts w:ascii="Times New Roman" w:eastAsia="標楷體" w:hAnsi="Times New Roman" w:cs="Times New Roman"/>
                <w:u w:val="words" w:color="FFFFFF" w:themeColor="background1"/>
              </w:rPr>
              <w:t>示小卡予</w:t>
            </w:r>
            <w:proofErr w:type="gramEnd"/>
            <w:r w:rsidRPr="000C0759">
              <w:rPr>
                <w:rFonts w:ascii="Times New Roman" w:eastAsia="標楷體" w:hAnsi="Times New Roman" w:cs="Times New Roman"/>
                <w:u w:val="words" w:color="FFFFFF" w:themeColor="background1"/>
              </w:rPr>
              <w:t>醫療人員，以</w:t>
            </w:r>
            <w:r w:rsidR="0009302B">
              <w:rPr>
                <w:rFonts w:ascii="Times New Roman" w:eastAsia="標楷體" w:hAnsi="Times New Roman" w:cs="Times New Roman" w:hint="eastAsia"/>
                <w:u w:val="words" w:color="FFFFFF" w:themeColor="background1"/>
              </w:rPr>
              <w:t>供</w:t>
            </w:r>
            <w:r w:rsidRPr="000C0759">
              <w:rPr>
                <w:rFonts w:ascii="Times New Roman" w:eastAsia="標楷體" w:hAnsi="Times New Roman" w:cs="Times New Roman"/>
                <w:u w:val="words" w:color="FFFFFF" w:themeColor="background1"/>
              </w:rPr>
              <w:t>發送給每位施打</w:t>
            </w:r>
            <w:r w:rsidRPr="000C0759">
              <w:rPr>
                <w:rFonts w:ascii="Times New Roman" w:eastAsia="標楷體" w:hAnsi="Times New Roman" w:cs="Times New Roman"/>
                <w:u w:val="words" w:color="FFFFFF" w:themeColor="background1"/>
              </w:rPr>
              <w:t>Zostavax</w:t>
            </w:r>
            <w:r w:rsidRPr="000C0759">
              <w:rPr>
                <w:rFonts w:ascii="Times New Roman" w:eastAsia="標楷體" w:hAnsi="Times New Roman" w:cs="Times New Roman"/>
                <w:u w:val="words" w:color="FFFFFF" w:themeColor="background1"/>
              </w:rPr>
              <w:t>之病人</w:t>
            </w:r>
            <w:r w:rsidR="00417602">
              <w:rPr>
                <w:rFonts w:ascii="Times New Roman" w:eastAsia="標楷體" w:hAnsi="Times New Roman" w:cs="Times New Roman" w:hint="eastAsia"/>
                <w:u w:val="words" w:color="FFFFFF" w:themeColor="background1"/>
              </w:rPr>
              <w:t>。</w:t>
            </w:r>
          </w:p>
          <w:p w14:paraId="782C9F50" w14:textId="2CCECF4A" w:rsidR="00140C74" w:rsidRPr="000C0759" w:rsidRDefault="00140C74" w:rsidP="00417602">
            <w:pPr>
              <w:pStyle w:val="a3"/>
              <w:numPr>
                <w:ilvl w:val="0"/>
                <w:numId w:val="4"/>
              </w:numPr>
              <w:shd w:val="clear" w:color="auto" w:fill="FFFFFF"/>
              <w:ind w:leftChars="0" w:hanging="383"/>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提供冰箱貼紙予所有具</w:t>
            </w:r>
            <w:r w:rsidRPr="000C0759">
              <w:rPr>
                <w:rFonts w:ascii="Times New Roman" w:eastAsia="標楷體" w:hAnsi="Times New Roman" w:cs="Times New Roman"/>
                <w:u w:val="words" w:color="FFFFFF" w:themeColor="background1"/>
              </w:rPr>
              <w:t>Zostavax</w:t>
            </w:r>
            <w:r w:rsidRPr="000C0759">
              <w:rPr>
                <w:rFonts w:ascii="Times New Roman" w:eastAsia="標楷體" w:hAnsi="Times New Roman" w:cs="Times New Roman"/>
                <w:u w:val="words" w:color="FFFFFF" w:themeColor="background1"/>
              </w:rPr>
              <w:t>藥品之單位，</w:t>
            </w:r>
            <w:proofErr w:type="gramStart"/>
            <w:r w:rsidRPr="000C0759">
              <w:rPr>
                <w:rFonts w:ascii="Times New Roman" w:eastAsia="標楷體" w:hAnsi="Times New Roman" w:cs="Times New Roman"/>
                <w:u w:val="words" w:color="FFFFFF" w:themeColor="background1"/>
              </w:rPr>
              <w:t>以供貼在</w:t>
            </w:r>
            <w:proofErr w:type="gramEnd"/>
            <w:r w:rsidRPr="000C0759">
              <w:rPr>
                <w:rFonts w:ascii="Times New Roman" w:eastAsia="標楷體" w:hAnsi="Times New Roman" w:cs="Times New Roman"/>
                <w:u w:val="words" w:color="FFFFFF" w:themeColor="background1"/>
              </w:rPr>
              <w:t>存放該藥品之冰箱上。</w:t>
            </w:r>
          </w:p>
          <w:p w14:paraId="62E8B327" w14:textId="717974B8" w:rsidR="00140C74" w:rsidRPr="000C0759" w:rsidRDefault="00140C74" w:rsidP="00417602">
            <w:pPr>
              <w:pStyle w:val="a3"/>
              <w:numPr>
                <w:ilvl w:val="0"/>
                <w:numId w:val="4"/>
              </w:numPr>
              <w:shd w:val="clear" w:color="auto" w:fill="FFFFFF"/>
              <w:ind w:leftChars="0" w:hanging="383"/>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發送致醫療人員函</w:t>
            </w:r>
            <w:r w:rsidR="0009302B">
              <w:rPr>
                <w:rFonts w:ascii="Times New Roman" w:eastAsia="標楷體" w:hAnsi="Times New Roman" w:cs="Times New Roman" w:hint="eastAsia"/>
                <w:u w:val="words" w:color="FFFFFF" w:themeColor="background1"/>
              </w:rPr>
              <w:t>，</w:t>
            </w:r>
            <w:r w:rsidRPr="000C0759">
              <w:rPr>
                <w:rFonts w:ascii="Times New Roman" w:eastAsia="標楷體" w:hAnsi="Times New Roman" w:cs="Times New Roman"/>
                <w:u w:val="words" w:color="FFFFFF" w:themeColor="background1"/>
              </w:rPr>
              <w:t>以說明</w:t>
            </w:r>
            <w:r w:rsidR="00D74F26">
              <w:rPr>
                <w:rFonts w:ascii="Times New Roman" w:eastAsia="標楷體" w:hAnsi="Times New Roman" w:cs="Times New Roman" w:hint="eastAsia"/>
                <w:u w:val="words" w:color="FFFFFF" w:themeColor="background1"/>
              </w:rPr>
              <w:t>仿單</w:t>
            </w:r>
            <w:r w:rsidRPr="000C0759">
              <w:rPr>
                <w:rFonts w:ascii="Times New Roman" w:eastAsia="標楷體" w:hAnsi="Times New Roman" w:cs="Times New Roman"/>
                <w:u w:val="words" w:color="FFFFFF" w:themeColor="background1"/>
              </w:rPr>
              <w:t>加</w:t>
            </w:r>
            <w:proofErr w:type="gramStart"/>
            <w:r w:rsidRPr="000C0759">
              <w:rPr>
                <w:rFonts w:ascii="Times New Roman" w:eastAsia="標楷體" w:hAnsi="Times New Roman" w:cs="Times New Roman"/>
                <w:u w:val="words" w:color="FFFFFF" w:themeColor="background1"/>
              </w:rPr>
              <w:t>註</w:t>
            </w:r>
            <w:proofErr w:type="gramEnd"/>
            <w:r w:rsidRPr="000C0759">
              <w:rPr>
                <w:rFonts w:ascii="Times New Roman" w:eastAsia="標楷體" w:hAnsi="Times New Roman" w:cs="Times New Roman"/>
                <w:u w:val="words" w:color="FFFFFF" w:themeColor="background1"/>
              </w:rPr>
              <w:t>之加框警語資訊。</w:t>
            </w:r>
          </w:p>
          <w:p w14:paraId="67D91D16" w14:textId="19694183" w:rsidR="00140C74" w:rsidRPr="00354DEB" w:rsidRDefault="00140C74" w:rsidP="00417602">
            <w:pPr>
              <w:pStyle w:val="a3"/>
              <w:numPr>
                <w:ilvl w:val="0"/>
                <w:numId w:val="4"/>
              </w:numPr>
              <w:shd w:val="clear" w:color="auto" w:fill="FFFFFF"/>
              <w:ind w:leftChars="0" w:hanging="383"/>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更新目前風險管理計畫及定期安全性報告，將</w:t>
            </w:r>
            <w:r w:rsidR="0009302B">
              <w:rPr>
                <w:rFonts w:ascii="Times New Roman" w:eastAsia="標楷體" w:hAnsi="Times New Roman" w:cs="Times New Roman" w:hint="eastAsia"/>
                <w:u w:val="words" w:color="FFFFFF" w:themeColor="background1"/>
              </w:rPr>
              <w:t>相關</w:t>
            </w:r>
            <w:r w:rsidRPr="000C0759">
              <w:rPr>
                <w:rFonts w:ascii="Times New Roman" w:eastAsia="標楷體" w:hAnsi="Times New Roman" w:cs="Times New Roman"/>
                <w:u w:val="words" w:color="FFFFFF" w:themeColor="background1"/>
              </w:rPr>
              <w:t>風險納入考量。</w:t>
            </w:r>
          </w:p>
        </w:tc>
      </w:tr>
      <w:tr w:rsidR="00354DEB" w:rsidRPr="000C0759" w14:paraId="42F43881" w14:textId="77777777" w:rsidTr="000C0759">
        <w:trPr>
          <w:trHeight w:val="896"/>
          <w:jc w:val="center"/>
        </w:trPr>
        <w:tc>
          <w:tcPr>
            <w:tcW w:w="2413" w:type="dxa"/>
            <w:vAlign w:val="center"/>
          </w:tcPr>
          <w:p w14:paraId="7C63CD2F" w14:textId="77777777" w:rsidR="00354DEB" w:rsidRDefault="00354DEB" w:rsidP="000851E8">
            <w:pPr>
              <w:jc w:val="center"/>
              <w:rPr>
                <w:rFonts w:ascii="Times New Roman" w:eastAsia="標楷體" w:hAnsi="Times New Roman" w:cs="Times New Roman"/>
                <w:u w:val="words" w:color="FFFFFF" w:themeColor="background1"/>
              </w:rPr>
            </w:pPr>
            <w:r>
              <w:rPr>
                <w:rFonts w:ascii="Times New Roman" w:eastAsia="標楷體" w:hAnsi="Times New Roman" w:cs="Times New Roman" w:hint="eastAsia"/>
                <w:u w:val="words" w:color="FFFFFF" w:themeColor="background1"/>
              </w:rPr>
              <w:t>食品藥物管理署</w:t>
            </w:r>
          </w:p>
          <w:p w14:paraId="201326D4" w14:textId="5C2854C3" w:rsidR="00354DEB" w:rsidRPr="000C0759" w:rsidRDefault="00354DEB" w:rsidP="000851E8">
            <w:pPr>
              <w:jc w:val="center"/>
              <w:rPr>
                <w:rFonts w:ascii="Times New Roman" w:eastAsia="標楷體" w:hAnsi="Times New Roman" w:cs="Times New Roman"/>
                <w:u w:val="words" w:color="FFFFFF" w:themeColor="background1"/>
              </w:rPr>
            </w:pPr>
            <w:r>
              <w:rPr>
                <w:rFonts w:ascii="Times New Roman" w:eastAsia="標楷體" w:hAnsi="Times New Roman" w:cs="Times New Roman" w:hint="eastAsia"/>
                <w:u w:val="words" w:color="FFFFFF" w:themeColor="background1"/>
              </w:rPr>
              <w:t>風險溝通說明</w:t>
            </w:r>
          </w:p>
        </w:tc>
        <w:tc>
          <w:tcPr>
            <w:tcW w:w="7510" w:type="dxa"/>
          </w:tcPr>
          <w:p w14:paraId="41153272" w14:textId="27A1044F" w:rsidR="0009302B" w:rsidRPr="0009302B" w:rsidRDefault="0009302B" w:rsidP="00354DEB">
            <w:pPr>
              <w:pStyle w:val="a3"/>
              <w:numPr>
                <w:ilvl w:val="0"/>
                <w:numId w:val="1"/>
              </w:numPr>
              <w:shd w:val="clear" w:color="auto" w:fill="FFFFFF"/>
              <w:spacing w:line="400" w:lineRule="exact"/>
              <w:ind w:leftChars="0"/>
              <w:jc w:val="both"/>
              <w:rPr>
                <w:rFonts w:ascii="Times New Roman" w:eastAsia="標楷體" w:hAnsi="Times New Roman" w:cs="Times New Roman"/>
                <w:b/>
                <w:u w:val="single"/>
              </w:rPr>
            </w:pPr>
            <w:bookmarkStart w:id="1" w:name="OLE_LINK1"/>
            <w:bookmarkStart w:id="2" w:name="OLE_LINK2"/>
            <w:r w:rsidRPr="0009302B">
              <w:rPr>
                <w:rFonts w:ascii="Times New Roman" w:eastAsia="標楷體" w:hAnsi="Times New Roman" w:cs="Times New Roman" w:hint="eastAsia"/>
                <w:b/>
                <w:u w:val="single"/>
              </w:rPr>
              <w:t>食品藥物管理署說明：</w:t>
            </w:r>
          </w:p>
          <w:p w14:paraId="55653B51" w14:textId="77777777" w:rsidR="0048171A" w:rsidRDefault="0009302B" w:rsidP="00417602">
            <w:pPr>
              <w:pStyle w:val="a3"/>
              <w:numPr>
                <w:ilvl w:val="0"/>
                <w:numId w:val="13"/>
              </w:numPr>
              <w:shd w:val="clear" w:color="auto" w:fill="FFFFFF"/>
              <w:ind w:leftChars="0" w:left="504" w:hanging="504"/>
              <w:jc w:val="both"/>
              <w:rPr>
                <w:rFonts w:ascii="Times New Roman" w:eastAsia="標楷體" w:hAnsi="Times New Roman" w:cs="Times New Roman"/>
                <w:color w:val="000000" w:themeColor="text1"/>
              </w:rPr>
            </w:pPr>
            <w:r w:rsidRPr="0009302B">
              <w:rPr>
                <w:rFonts w:ascii="Times New Roman" w:eastAsia="標楷體" w:hAnsi="Times New Roman" w:cs="Times New Roman" w:hint="eastAsia"/>
                <w:color w:val="000000" w:themeColor="text1"/>
              </w:rPr>
              <w:t>經查，我國核准</w:t>
            </w:r>
            <w:r w:rsidRPr="0009302B">
              <w:rPr>
                <w:rFonts w:ascii="Times New Roman" w:eastAsia="標楷體" w:hAnsi="Times New Roman" w:cs="Times New Roman"/>
                <w:color w:val="000000" w:themeColor="text1"/>
              </w:rPr>
              <w:t>Zostavax vaccine</w:t>
            </w:r>
            <w:r w:rsidRPr="0009302B">
              <w:rPr>
                <w:rFonts w:ascii="Times New Roman" w:eastAsia="標楷體" w:hAnsi="Times New Roman" w:cs="Times New Roman"/>
                <w:color w:val="000000" w:themeColor="text1"/>
              </w:rPr>
              <w:t>之藥品許可證共</w:t>
            </w:r>
            <w:r w:rsidRPr="0009302B">
              <w:rPr>
                <w:rFonts w:ascii="Times New Roman" w:eastAsia="標楷體" w:hAnsi="Times New Roman" w:cs="Times New Roman"/>
                <w:color w:val="000000" w:themeColor="text1"/>
              </w:rPr>
              <w:t>1</w:t>
            </w:r>
            <w:r w:rsidRPr="0009302B">
              <w:rPr>
                <w:rFonts w:ascii="Times New Roman" w:eastAsia="標楷體" w:hAnsi="Times New Roman" w:cs="Times New Roman"/>
                <w:color w:val="000000" w:themeColor="text1"/>
              </w:rPr>
              <w:t>張，其中文仿單於「禁忌症」處刊載「</w:t>
            </w:r>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為一</w:t>
            </w:r>
            <w:proofErr w:type="gramStart"/>
            <w:r w:rsidRPr="0009302B">
              <w:rPr>
                <w:rFonts w:ascii="Times New Roman" w:eastAsia="標楷體" w:hAnsi="Times New Roman" w:cs="Times New Roman"/>
                <w:color w:val="000000" w:themeColor="text1"/>
              </w:rPr>
              <w:t>活性減毒水痘</w:t>
            </w:r>
            <w:proofErr w:type="gramEnd"/>
            <w:r w:rsidRPr="0009302B">
              <w:rPr>
                <w:rFonts w:ascii="Times New Roman" w:eastAsia="標楷體" w:hAnsi="Times New Roman" w:cs="Times New Roman"/>
                <w:color w:val="000000" w:themeColor="text1"/>
              </w:rPr>
              <w:t>帶狀</w:t>
            </w:r>
            <w:r w:rsidRPr="0009302B">
              <w:rPr>
                <w:rFonts w:ascii="Times New Roman" w:eastAsia="標楷體" w:hAnsi="Times New Roman" w:cs="Times New Roman" w:hint="eastAsia"/>
                <w:color w:val="000000" w:themeColor="text1"/>
              </w:rPr>
              <w:t>疱疹疫苗，</w:t>
            </w:r>
            <w:r w:rsidRPr="00417602">
              <w:rPr>
                <w:rFonts w:ascii="Times New Roman" w:eastAsia="標楷體" w:hAnsi="Times New Roman" w:cs="Times New Roman" w:hint="eastAsia"/>
                <w:b/>
                <w:color w:val="000000" w:themeColor="text1"/>
              </w:rPr>
              <w:t>免疫抑制與免疫缺陷的病人接種後可能產生疫苗病毒散播</w:t>
            </w:r>
            <w:r w:rsidRPr="00417602">
              <w:rPr>
                <w:rFonts w:ascii="Times New Roman" w:eastAsia="標楷體" w:hAnsi="Times New Roman" w:cs="Times New Roman" w:hint="eastAsia"/>
                <w:b/>
                <w:color w:val="000000" w:themeColor="text1"/>
              </w:rPr>
              <w:lastRenderedPageBreak/>
              <w:t>之全身性疾病</w:t>
            </w:r>
            <w:r w:rsidRPr="00417602">
              <w:rPr>
                <w:rFonts w:ascii="Times New Roman" w:eastAsia="標楷體" w:hAnsi="Times New Roman" w:cs="Times New Roman"/>
                <w:b/>
                <w:color w:val="000000" w:themeColor="text1"/>
              </w:rPr>
              <w:t>(disseminated varicella-zoster virus disease)</w:t>
            </w:r>
            <w:r w:rsidRPr="00417602">
              <w:rPr>
                <w:rFonts w:ascii="Times New Roman" w:eastAsia="標楷體" w:hAnsi="Times New Roman" w:cs="Times New Roman"/>
                <w:b/>
                <w:color w:val="000000" w:themeColor="text1"/>
              </w:rPr>
              <w:t>，包括死亡</w:t>
            </w:r>
            <w:r w:rsidRPr="0009302B">
              <w:rPr>
                <w:rFonts w:ascii="Times New Roman" w:eastAsia="標楷體" w:hAnsi="Times New Roman" w:cs="Times New Roman"/>
                <w:color w:val="000000" w:themeColor="text1"/>
              </w:rPr>
              <w:t>」；於「副作用</w:t>
            </w:r>
            <w:r w:rsidRPr="0009302B">
              <w:rPr>
                <w:rFonts w:ascii="Times New Roman" w:eastAsia="標楷體" w:hAnsi="Times New Roman" w:cs="Times New Roman"/>
                <w:color w:val="000000" w:themeColor="text1"/>
              </w:rPr>
              <w:t>-</w:t>
            </w:r>
            <w:r w:rsidRPr="0009302B">
              <w:rPr>
                <w:rFonts w:ascii="Times New Roman" w:eastAsia="標楷體" w:hAnsi="Times New Roman" w:cs="Times New Roman"/>
                <w:color w:val="000000" w:themeColor="text1"/>
              </w:rPr>
              <w:t>上市後的使用經驗」處刊載「感染與寄生蟲疾病：帶狀</w:t>
            </w:r>
            <w:r w:rsidRPr="0009302B">
              <w:rPr>
                <w:rFonts w:ascii="Times New Roman" w:eastAsia="標楷體" w:hAnsi="Times New Roman" w:cs="Times New Roman" w:hint="eastAsia"/>
                <w:color w:val="000000" w:themeColor="text1"/>
              </w:rPr>
              <w:t>疱疹</w:t>
            </w:r>
            <w:r w:rsidRPr="0009302B">
              <w:rPr>
                <w:rFonts w:ascii="Times New Roman" w:eastAsia="標楷體" w:hAnsi="Times New Roman" w:cs="Times New Roman"/>
                <w:color w:val="000000" w:themeColor="text1"/>
              </w:rPr>
              <w:t>(</w:t>
            </w:r>
            <w:r w:rsidRPr="0009302B">
              <w:rPr>
                <w:rFonts w:ascii="Times New Roman" w:eastAsia="標楷體" w:hAnsi="Times New Roman" w:cs="Times New Roman"/>
                <w:color w:val="000000" w:themeColor="text1"/>
              </w:rPr>
              <w:t>疫苗株</w:t>
            </w:r>
            <w:r w:rsidRPr="0009302B">
              <w:rPr>
                <w:rFonts w:ascii="Times New Roman" w:eastAsia="標楷體" w:hAnsi="Times New Roman" w:cs="Times New Roman"/>
                <w:color w:val="000000" w:themeColor="text1"/>
              </w:rPr>
              <w:t>)</w:t>
            </w:r>
            <w:r w:rsidRPr="0009302B">
              <w:rPr>
                <w:rFonts w:ascii="Times New Roman" w:eastAsia="標楷體" w:hAnsi="Times New Roman" w:cs="Times New Roman"/>
                <w:color w:val="000000" w:themeColor="text1"/>
              </w:rPr>
              <w:t>」，</w:t>
            </w:r>
            <w:r w:rsidRPr="0048171A">
              <w:rPr>
                <w:rFonts w:ascii="Times New Roman" w:eastAsia="標楷體" w:hAnsi="Times New Roman" w:cs="Times New Roman"/>
                <w:color w:val="000000" w:themeColor="text1"/>
              </w:rPr>
              <w:t>惟未有包含本則警訊提及之加框警語及未執行其他風險管控措施。</w:t>
            </w:r>
          </w:p>
          <w:p w14:paraId="488361E6" w14:textId="121BF3D0" w:rsidR="0009302B" w:rsidRPr="0048171A" w:rsidRDefault="0009302B" w:rsidP="00417602">
            <w:pPr>
              <w:pStyle w:val="a3"/>
              <w:numPr>
                <w:ilvl w:val="0"/>
                <w:numId w:val="13"/>
              </w:numPr>
              <w:shd w:val="clear" w:color="auto" w:fill="FFFFFF"/>
              <w:ind w:leftChars="0" w:left="504" w:hanging="504"/>
              <w:jc w:val="both"/>
              <w:rPr>
                <w:rFonts w:ascii="Times New Roman" w:eastAsia="標楷體" w:hAnsi="Times New Roman" w:cs="Times New Roman"/>
                <w:color w:val="000000" w:themeColor="text1"/>
              </w:rPr>
            </w:pPr>
            <w:proofErr w:type="gramStart"/>
            <w:r w:rsidRPr="0048171A">
              <w:rPr>
                <w:rFonts w:ascii="Times New Roman" w:eastAsia="標楷體" w:hAnsi="Times New Roman" w:cs="Times New Roman" w:hint="eastAsia"/>
                <w:color w:val="000000" w:themeColor="text1"/>
              </w:rPr>
              <w:t>本署現</w:t>
            </w:r>
            <w:proofErr w:type="gramEnd"/>
            <w:r w:rsidRPr="0048171A">
              <w:rPr>
                <w:rFonts w:ascii="Times New Roman" w:eastAsia="標楷體" w:hAnsi="Times New Roman" w:cs="Times New Roman" w:hint="eastAsia"/>
                <w:color w:val="000000" w:themeColor="text1"/>
              </w:rPr>
              <w:t>正評估是否針對該成分藥品採取進一步風險管控措施。</w:t>
            </w:r>
          </w:p>
          <w:p w14:paraId="4D03D667" w14:textId="77777777" w:rsidR="0009302B" w:rsidRPr="0009302B" w:rsidRDefault="0009302B" w:rsidP="0009302B">
            <w:pPr>
              <w:pStyle w:val="a3"/>
              <w:shd w:val="clear" w:color="auto" w:fill="FFFFFF"/>
              <w:ind w:leftChars="0" w:left="360"/>
              <w:jc w:val="both"/>
              <w:rPr>
                <w:rFonts w:ascii="Times New Roman" w:eastAsia="標楷體" w:hAnsi="Times New Roman" w:cs="Times New Roman"/>
                <w:b/>
                <w:color w:val="000000" w:themeColor="text1"/>
                <w:u w:val="single"/>
              </w:rPr>
            </w:pPr>
          </w:p>
          <w:p w14:paraId="6152C18A" w14:textId="34D7423F" w:rsidR="00354DEB" w:rsidRPr="000C0759" w:rsidRDefault="00354DEB" w:rsidP="00354DEB">
            <w:pPr>
              <w:pStyle w:val="a3"/>
              <w:numPr>
                <w:ilvl w:val="0"/>
                <w:numId w:val="1"/>
              </w:numPr>
              <w:shd w:val="clear" w:color="auto" w:fill="FFFFFF"/>
              <w:spacing w:line="400" w:lineRule="exact"/>
              <w:ind w:leftChars="0"/>
              <w:jc w:val="both"/>
              <w:rPr>
                <w:rFonts w:ascii="Times New Roman" w:eastAsia="標楷體" w:hAnsi="Times New Roman" w:cs="Times New Roman"/>
                <w:b/>
                <w:u w:val="words" w:color="FFFFFF" w:themeColor="background1"/>
              </w:rPr>
            </w:pPr>
            <w:r w:rsidRPr="0009302B">
              <w:rPr>
                <w:rFonts w:ascii="Times New Roman" w:eastAsia="標楷體" w:hAnsi="Times New Roman" w:cs="Times New Roman"/>
                <w:b/>
                <w:bCs/>
                <w:u w:val="single"/>
              </w:rPr>
              <w:t>醫療人員</w:t>
            </w:r>
            <w:r w:rsidRPr="000C0759">
              <w:rPr>
                <w:rFonts w:ascii="Times New Roman" w:eastAsia="標楷體" w:hAnsi="Times New Roman" w:cs="Times New Roman"/>
                <w:b/>
                <w:u w:val="words" w:color="FFFFFF" w:themeColor="background1"/>
              </w:rPr>
              <w:t>應注意事項：</w:t>
            </w:r>
          </w:p>
          <w:bookmarkEnd w:id="1"/>
          <w:bookmarkEnd w:id="2"/>
          <w:p w14:paraId="282956AE" w14:textId="060A435D" w:rsidR="0009302B" w:rsidRPr="0009302B" w:rsidRDefault="00354DEB" w:rsidP="00417602">
            <w:pPr>
              <w:pStyle w:val="a3"/>
              <w:numPr>
                <w:ilvl w:val="0"/>
                <w:numId w:val="15"/>
              </w:numPr>
              <w:shd w:val="clear" w:color="auto" w:fill="FFFFFF"/>
              <w:ind w:leftChars="0" w:left="504" w:hanging="504"/>
              <w:jc w:val="both"/>
              <w:rPr>
                <w:rFonts w:ascii="Times New Roman" w:eastAsia="標楷體" w:hAnsi="Times New Roman" w:cs="Times New Roman"/>
                <w:color w:val="000000" w:themeColor="text1"/>
              </w:rPr>
            </w:pPr>
            <w:r w:rsidRPr="0009302B">
              <w:rPr>
                <w:rFonts w:ascii="Times New Roman" w:eastAsia="標楷體" w:hAnsi="Times New Roman" w:cs="Times New Roman"/>
                <w:color w:val="000000" w:themeColor="text1"/>
              </w:rPr>
              <w:t>接種</w:t>
            </w:r>
            <w:proofErr w:type="gramStart"/>
            <w:r w:rsidRPr="0009302B">
              <w:rPr>
                <w:rFonts w:ascii="Times New Roman" w:eastAsia="標楷體" w:hAnsi="Times New Roman" w:cs="Times New Roman"/>
                <w:color w:val="000000" w:themeColor="text1"/>
              </w:rPr>
              <w:t>活性減毒疫苗</w:t>
            </w:r>
            <w:proofErr w:type="gramEnd"/>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後可能會發生罕見的瀰漫性疫苗病毒株水痘帶狀疱疹病毒感染，且曾有致死案例，包含使用低劑量免疫抑制劑</w:t>
            </w:r>
            <w:r w:rsidR="00B15973">
              <w:rPr>
                <w:rFonts w:ascii="Times New Roman" w:eastAsia="標楷體" w:hAnsi="Times New Roman" w:cs="Times New Roman" w:hint="eastAsia"/>
                <w:color w:val="000000" w:themeColor="text1"/>
              </w:rPr>
              <w:t>之</w:t>
            </w:r>
            <w:r w:rsidRPr="0009302B">
              <w:rPr>
                <w:rFonts w:ascii="Times New Roman" w:eastAsia="標楷體" w:hAnsi="Times New Roman" w:cs="Times New Roman"/>
                <w:color w:val="000000" w:themeColor="text1"/>
              </w:rPr>
              <w:t>病人。此風險會因免疫抑制程度愈大而增加。</w:t>
            </w:r>
          </w:p>
          <w:p w14:paraId="67009003" w14:textId="1C7A0D85" w:rsidR="0009302B" w:rsidRPr="0009302B" w:rsidRDefault="00354DEB" w:rsidP="00417602">
            <w:pPr>
              <w:pStyle w:val="a3"/>
              <w:numPr>
                <w:ilvl w:val="0"/>
                <w:numId w:val="15"/>
              </w:numPr>
              <w:shd w:val="clear" w:color="auto" w:fill="FFFFFF"/>
              <w:ind w:leftChars="0" w:left="504" w:hanging="504"/>
              <w:jc w:val="both"/>
              <w:rPr>
                <w:rFonts w:ascii="Times New Roman" w:eastAsia="標楷體" w:hAnsi="Times New Roman" w:cs="Times New Roman"/>
                <w:color w:val="000000" w:themeColor="text1"/>
              </w:rPr>
            </w:pPr>
            <w:r w:rsidRPr="0009302B">
              <w:rPr>
                <w:rFonts w:ascii="Times New Roman" w:eastAsia="標楷體" w:hAnsi="Times New Roman" w:cs="Times New Roman"/>
                <w:color w:val="000000" w:themeColor="text1"/>
              </w:rPr>
              <w:t>施打</w:t>
            </w:r>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前，應評估病人</w:t>
            </w:r>
            <w:r w:rsidR="00886E90">
              <w:rPr>
                <w:rFonts w:ascii="Times New Roman" w:eastAsia="標楷體" w:hAnsi="Times New Roman" w:cs="Times New Roman" w:hint="eastAsia"/>
                <w:color w:val="000000" w:themeColor="text1"/>
              </w:rPr>
              <w:t>之</w:t>
            </w:r>
            <w:r w:rsidR="00886E90" w:rsidRPr="0009302B">
              <w:rPr>
                <w:rFonts w:ascii="Times New Roman" w:eastAsia="標楷體" w:hAnsi="Times New Roman" w:cs="Times New Roman"/>
                <w:color w:val="000000" w:themeColor="text1"/>
              </w:rPr>
              <w:t>免疫抑制狀態</w:t>
            </w:r>
            <w:r w:rsidRPr="0009302B">
              <w:rPr>
                <w:rFonts w:ascii="Times New Roman" w:eastAsia="標楷體" w:hAnsi="Times New Roman" w:cs="Times New Roman"/>
                <w:color w:val="000000" w:themeColor="text1"/>
              </w:rPr>
              <w:t>相關風險。若不確定病人可否施打，應與專科醫師討論。</w:t>
            </w:r>
          </w:p>
          <w:p w14:paraId="32A90482" w14:textId="00AE5A10" w:rsidR="0009302B" w:rsidRPr="0009302B" w:rsidRDefault="00354DEB" w:rsidP="00417602">
            <w:pPr>
              <w:pStyle w:val="a3"/>
              <w:numPr>
                <w:ilvl w:val="0"/>
                <w:numId w:val="15"/>
              </w:numPr>
              <w:shd w:val="clear" w:color="auto" w:fill="FFFFFF"/>
              <w:ind w:leftChars="0" w:left="504" w:hanging="504"/>
              <w:jc w:val="both"/>
              <w:rPr>
                <w:rFonts w:ascii="Times New Roman" w:eastAsia="標楷體" w:hAnsi="Times New Roman" w:cs="Times New Roman"/>
                <w:color w:val="000000" w:themeColor="text1"/>
              </w:rPr>
            </w:pPr>
            <w:r w:rsidRPr="0009302B">
              <w:rPr>
                <w:rFonts w:ascii="Times New Roman" w:eastAsia="標楷體" w:hAnsi="Times New Roman" w:cs="Times New Roman"/>
                <w:color w:val="000000" w:themeColor="text1"/>
              </w:rPr>
              <w:t>告知病人若在接種</w:t>
            </w:r>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後</w:t>
            </w:r>
            <w:r w:rsidRPr="0009302B">
              <w:rPr>
                <w:rFonts w:ascii="Times New Roman" w:eastAsia="標楷體" w:hAnsi="Times New Roman" w:cs="Times New Roman"/>
                <w:color w:val="000000" w:themeColor="text1"/>
              </w:rPr>
              <w:t>2</w:t>
            </w:r>
            <w:r w:rsidRPr="0009302B">
              <w:rPr>
                <w:rFonts w:ascii="Times New Roman" w:eastAsia="標楷體" w:hAnsi="Times New Roman" w:cs="Times New Roman"/>
                <w:color w:val="000000" w:themeColor="text1"/>
              </w:rPr>
              <w:t>到</w:t>
            </w:r>
            <w:r w:rsidRPr="0009302B">
              <w:rPr>
                <w:rFonts w:ascii="Times New Roman" w:eastAsia="標楷體" w:hAnsi="Times New Roman" w:cs="Times New Roman"/>
                <w:color w:val="000000" w:themeColor="text1"/>
              </w:rPr>
              <w:t>4</w:t>
            </w:r>
            <w:proofErr w:type="gramStart"/>
            <w:r w:rsidRPr="0009302B">
              <w:rPr>
                <w:rFonts w:ascii="Times New Roman" w:eastAsia="標楷體" w:hAnsi="Times New Roman" w:cs="Times New Roman"/>
                <w:color w:val="000000" w:themeColor="text1"/>
              </w:rPr>
              <w:t>週</w:t>
            </w:r>
            <w:proofErr w:type="gramEnd"/>
            <w:r w:rsidRPr="0009302B">
              <w:rPr>
                <w:rFonts w:ascii="Times New Roman" w:eastAsia="標楷體" w:hAnsi="Times New Roman" w:cs="Times New Roman"/>
                <w:color w:val="000000" w:themeColor="text1"/>
              </w:rPr>
              <w:t>內發生瀰漫性水泡型紅疹（類似水痘）</w:t>
            </w:r>
            <w:r w:rsidR="00886E90">
              <w:rPr>
                <w:rFonts w:ascii="Times New Roman" w:eastAsia="標楷體" w:hAnsi="Times New Roman" w:cs="Times New Roman" w:hint="eastAsia"/>
                <w:color w:val="000000" w:themeColor="text1"/>
              </w:rPr>
              <w:t>、</w:t>
            </w:r>
            <w:r w:rsidRPr="0009302B">
              <w:rPr>
                <w:rFonts w:ascii="Times New Roman" w:eastAsia="標楷體" w:hAnsi="Times New Roman" w:cs="Times New Roman"/>
                <w:color w:val="000000" w:themeColor="text1"/>
              </w:rPr>
              <w:t>身體不適或有發燒症狀，</w:t>
            </w:r>
            <w:r w:rsidR="00886E90">
              <w:rPr>
                <w:rFonts w:ascii="Times New Roman" w:eastAsia="標楷體" w:hAnsi="Times New Roman" w:cs="Times New Roman" w:hint="eastAsia"/>
                <w:color w:val="000000" w:themeColor="text1"/>
              </w:rPr>
              <w:t>應</w:t>
            </w:r>
            <w:r w:rsidRPr="0009302B">
              <w:rPr>
                <w:rFonts w:ascii="Times New Roman" w:eastAsia="標楷體" w:hAnsi="Times New Roman" w:cs="Times New Roman"/>
                <w:color w:val="000000" w:themeColor="text1"/>
              </w:rPr>
              <w:t>立即尋求醫療協助。當有發生上述症狀之病人就診</w:t>
            </w:r>
            <w:r w:rsidR="00886E90">
              <w:rPr>
                <w:rFonts w:ascii="Times New Roman" w:eastAsia="標楷體" w:hAnsi="Times New Roman" w:cs="Times New Roman" w:hint="eastAsia"/>
                <w:color w:val="000000" w:themeColor="text1"/>
              </w:rPr>
              <w:t>時</w:t>
            </w:r>
            <w:r w:rsidRPr="0009302B">
              <w:rPr>
                <w:rFonts w:ascii="Times New Roman" w:eastAsia="標楷體" w:hAnsi="Times New Roman" w:cs="Times New Roman"/>
                <w:color w:val="000000" w:themeColor="text1"/>
              </w:rPr>
              <w:t>，應注意病人近期的疫苗接種史。</w:t>
            </w:r>
          </w:p>
          <w:p w14:paraId="5B21A582" w14:textId="77777777" w:rsidR="0009302B" w:rsidRPr="0009302B" w:rsidRDefault="00354DEB" w:rsidP="00417602">
            <w:pPr>
              <w:pStyle w:val="a3"/>
              <w:numPr>
                <w:ilvl w:val="0"/>
                <w:numId w:val="15"/>
              </w:numPr>
              <w:shd w:val="clear" w:color="auto" w:fill="FFFFFF"/>
              <w:ind w:leftChars="0" w:left="504" w:hanging="504"/>
              <w:jc w:val="both"/>
              <w:rPr>
                <w:rFonts w:ascii="Times New Roman" w:eastAsia="標楷體" w:hAnsi="Times New Roman" w:cs="Times New Roman"/>
                <w:color w:val="000000" w:themeColor="text1"/>
              </w:rPr>
            </w:pPr>
            <w:r w:rsidRPr="0009302B">
              <w:rPr>
                <w:rFonts w:ascii="Times New Roman" w:eastAsia="標楷體" w:hAnsi="Times New Roman" w:cs="Times New Roman"/>
                <w:color w:val="000000" w:themeColor="text1"/>
              </w:rPr>
              <w:t>若有施打</w:t>
            </w:r>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於免疫抑制病人的情形，應告知病人發生瀰漫性水痘帶狀疱疹病毒感染之潛在風險，以及出現相關症狀需就醫，並考慮預先給予抗病毒療法。</w:t>
            </w:r>
          </w:p>
          <w:p w14:paraId="6E4B6E0A" w14:textId="31851FCC" w:rsidR="00354DEB" w:rsidRPr="0009302B" w:rsidRDefault="00354DEB" w:rsidP="00417602">
            <w:pPr>
              <w:pStyle w:val="a3"/>
              <w:numPr>
                <w:ilvl w:val="0"/>
                <w:numId w:val="15"/>
              </w:numPr>
              <w:shd w:val="clear" w:color="auto" w:fill="FFFFFF"/>
              <w:ind w:leftChars="0" w:left="504" w:hanging="504"/>
              <w:jc w:val="both"/>
              <w:rPr>
                <w:rFonts w:ascii="Times New Roman" w:eastAsia="標楷體" w:hAnsi="Times New Roman" w:cs="Times New Roman"/>
                <w:color w:val="000000" w:themeColor="text1"/>
              </w:rPr>
            </w:pPr>
            <w:r w:rsidRPr="0009302B">
              <w:rPr>
                <w:rFonts w:ascii="Times New Roman" w:eastAsia="標楷體" w:hAnsi="Times New Roman" w:cs="Times New Roman"/>
                <w:color w:val="000000" w:themeColor="text1"/>
              </w:rPr>
              <w:t>近期接種過</w:t>
            </w:r>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的病人，若疑似發生瀰漫性水痘帶狀疱疹病毒感染，醫療人員應：</w:t>
            </w:r>
          </w:p>
          <w:p w14:paraId="5EC96B7E" w14:textId="77777777" w:rsidR="00354DEB" w:rsidRPr="000C0759" w:rsidRDefault="00354DEB" w:rsidP="00417602">
            <w:pPr>
              <w:pStyle w:val="a3"/>
              <w:numPr>
                <w:ilvl w:val="0"/>
                <w:numId w:val="4"/>
              </w:numPr>
              <w:shd w:val="clear" w:color="auto" w:fill="FFFFFF"/>
              <w:ind w:leftChars="0" w:hanging="383"/>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及早與專科醫生討論，進行適當的診斷檢驗。</w:t>
            </w:r>
          </w:p>
          <w:p w14:paraId="702DB655" w14:textId="77777777" w:rsidR="00354DEB" w:rsidRPr="000C0759" w:rsidRDefault="00354DEB" w:rsidP="00417602">
            <w:pPr>
              <w:pStyle w:val="a3"/>
              <w:numPr>
                <w:ilvl w:val="0"/>
                <w:numId w:val="4"/>
              </w:numPr>
              <w:shd w:val="clear" w:color="auto" w:fill="FFFFFF"/>
              <w:ind w:leftChars="0" w:hanging="383"/>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等待檢驗報告時，給予合適的經驗性抗病毒療程。</w:t>
            </w:r>
          </w:p>
          <w:p w14:paraId="62B0E6B0" w14:textId="0104BB50" w:rsidR="00354DEB" w:rsidRPr="00FA13ED" w:rsidRDefault="00354DEB" w:rsidP="00FA13ED">
            <w:pPr>
              <w:pStyle w:val="a3"/>
              <w:numPr>
                <w:ilvl w:val="0"/>
                <w:numId w:val="4"/>
              </w:numPr>
              <w:shd w:val="clear" w:color="auto" w:fill="FFFFFF"/>
              <w:ind w:leftChars="0" w:hanging="383"/>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與原處方醫生討論，可否停用免疫抑制劑。</w:t>
            </w:r>
          </w:p>
          <w:p w14:paraId="378ED3B1" w14:textId="77777777" w:rsidR="00354DEB" w:rsidRPr="000C0759" w:rsidRDefault="00354DEB" w:rsidP="00354DEB">
            <w:pPr>
              <w:pStyle w:val="a3"/>
              <w:numPr>
                <w:ilvl w:val="0"/>
                <w:numId w:val="1"/>
              </w:numPr>
              <w:shd w:val="clear" w:color="auto" w:fill="FFFFFF"/>
              <w:spacing w:line="400" w:lineRule="exact"/>
              <w:ind w:leftChars="0"/>
              <w:jc w:val="both"/>
              <w:rPr>
                <w:rFonts w:ascii="Times New Roman" w:eastAsia="標楷體" w:hAnsi="Times New Roman" w:cs="Times New Roman"/>
                <w:b/>
                <w:u w:val="words" w:color="FFFFFF" w:themeColor="background1"/>
              </w:rPr>
            </w:pPr>
            <w:r w:rsidRPr="0009302B">
              <w:rPr>
                <w:rFonts w:ascii="Times New Roman" w:eastAsia="標楷體" w:hAnsi="Times New Roman" w:cs="Times New Roman"/>
                <w:b/>
                <w:bCs/>
                <w:u w:val="single"/>
              </w:rPr>
              <w:t>病人</w:t>
            </w:r>
            <w:r w:rsidRPr="000C0759">
              <w:rPr>
                <w:rFonts w:ascii="Times New Roman" w:eastAsia="標楷體" w:hAnsi="Times New Roman" w:cs="Times New Roman"/>
                <w:b/>
                <w:u w:val="words" w:color="FFFFFF" w:themeColor="background1"/>
              </w:rPr>
              <w:t>應注意事項：</w:t>
            </w:r>
          </w:p>
          <w:p w14:paraId="7D5BFA66" w14:textId="77777777" w:rsidR="00354DEB" w:rsidRPr="0009302B" w:rsidRDefault="00354DEB" w:rsidP="00417602">
            <w:pPr>
              <w:pStyle w:val="a3"/>
              <w:numPr>
                <w:ilvl w:val="0"/>
                <w:numId w:val="16"/>
              </w:numPr>
              <w:shd w:val="clear" w:color="auto" w:fill="FFFFFF"/>
              <w:ind w:leftChars="0" w:left="518" w:hanging="518"/>
              <w:jc w:val="both"/>
              <w:rPr>
                <w:rFonts w:ascii="Times New Roman" w:eastAsia="標楷體" w:hAnsi="Times New Roman" w:cs="Times New Roman"/>
                <w:color w:val="000000" w:themeColor="text1"/>
              </w:rPr>
            </w:pPr>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是一個</w:t>
            </w:r>
            <w:proofErr w:type="gramStart"/>
            <w:r w:rsidRPr="0009302B">
              <w:rPr>
                <w:rFonts w:ascii="Times New Roman" w:eastAsia="標楷體" w:hAnsi="Times New Roman" w:cs="Times New Roman"/>
                <w:color w:val="000000" w:themeColor="text1"/>
              </w:rPr>
              <w:t>活性減毒疫苗</w:t>
            </w:r>
            <w:proofErr w:type="gramEnd"/>
            <w:r w:rsidRPr="0009302B">
              <w:rPr>
                <w:rFonts w:ascii="Times New Roman" w:eastAsia="標楷體" w:hAnsi="Times New Roman" w:cs="Times New Roman"/>
                <w:color w:val="000000" w:themeColor="text1"/>
              </w:rPr>
              <w:t>，不適用於免疫功能低下病人，因施打後可能會引發疫苗病毒株的感染，可能導致嚴重疾病或死亡。</w:t>
            </w:r>
          </w:p>
          <w:p w14:paraId="4CA217BC" w14:textId="77777777" w:rsidR="00354DEB" w:rsidRPr="0009302B" w:rsidRDefault="00354DEB" w:rsidP="00417602">
            <w:pPr>
              <w:pStyle w:val="a3"/>
              <w:numPr>
                <w:ilvl w:val="0"/>
                <w:numId w:val="16"/>
              </w:numPr>
              <w:shd w:val="clear" w:color="auto" w:fill="FFFFFF"/>
              <w:ind w:leftChars="0" w:left="504" w:hanging="504"/>
              <w:jc w:val="both"/>
              <w:rPr>
                <w:rFonts w:ascii="Times New Roman" w:eastAsia="標楷體" w:hAnsi="Times New Roman" w:cs="Times New Roman"/>
                <w:color w:val="000000" w:themeColor="text1"/>
              </w:rPr>
            </w:pPr>
            <w:r w:rsidRPr="0009302B">
              <w:rPr>
                <w:rFonts w:ascii="Times New Roman" w:eastAsia="標楷體" w:hAnsi="Times New Roman" w:cs="Times New Roman"/>
                <w:color w:val="000000" w:themeColor="text1"/>
              </w:rPr>
              <w:t>接種</w:t>
            </w:r>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疫苗前，應告知醫生目前是否有服用抑制免疫系統的藥品，包含高劑量類固醇、癌症用藥，或其他治療。</w:t>
            </w:r>
          </w:p>
          <w:p w14:paraId="01756ABB" w14:textId="77777777" w:rsidR="00354DEB" w:rsidRPr="0009302B" w:rsidRDefault="00354DEB" w:rsidP="00417602">
            <w:pPr>
              <w:pStyle w:val="a3"/>
              <w:numPr>
                <w:ilvl w:val="0"/>
                <w:numId w:val="16"/>
              </w:numPr>
              <w:shd w:val="clear" w:color="auto" w:fill="FFFFFF"/>
              <w:ind w:leftChars="0" w:left="504" w:hanging="504"/>
              <w:jc w:val="both"/>
              <w:rPr>
                <w:rFonts w:ascii="Times New Roman" w:eastAsia="標楷體" w:hAnsi="Times New Roman" w:cs="Times New Roman"/>
                <w:color w:val="000000" w:themeColor="text1"/>
              </w:rPr>
            </w:pPr>
            <w:r w:rsidRPr="0009302B">
              <w:rPr>
                <w:rFonts w:ascii="Times New Roman" w:eastAsia="標楷體" w:hAnsi="Times New Roman" w:cs="Times New Roman"/>
                <w:color w:val="000000" w:themeColor="text1"/>
              </w:rPr>
              <w:t>接種後若有不適，應尋求醫療協助，於就醫時應告知最近有接種</w:t>
            </w:r>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疫苗。</w:t>
            </w:r>
          </w:p>
          <w:p w14:paraId="108C3CD6" w14:textId="77777777" w:rsidR="00354DEB" w:rsidRPr="0009302B" w:rsidRDefault="00354DEB" w:rsidP="00417602">
            <w:pPr>
              <w:pStyle w:val="a3"/>
              <w:numPr>
                <w:ilvl w:val="0"/>
                <w:numId w:val="16"/>
              </w:numPr>
              <w:shd w:val="clear" w:color="auto" w:fill="FFFFFF"/>
              <w:ind w:leftChars="0" w:left="504" w:hanging="504"/>
              <w:jc w:val="both"/>
              <w:rPr>
                <w:rFonts w:ascii="Times New Roman" w:eastAsia="標楷體" w:hAnsi="Times New Roman" w:cs="Times New Roman"/>
                <w:color w:val="000000" w:themeColor="text1"/>
              </w:rPr>
            </w:pPr>
            <w:r w:rsidRPr="0009302B">
              <w:rPr>
                <w:rFonts w:ascii="Times New Roman" w:eastAsia="標楷體" w:hAnsi="Times New Roman" w:cs="Times New Roman"/>
                <w:color w:val="000000" w:themeColor="text1"/>
              </w:rPr>
              <w:t>接種</w:t>
            </w:r>
            <w:r w:rsidRPr="0009302B">
              <w:rPr>
                <w:rFonts w:ascii="Times New Roman" w:eastAsia="標楷體" w:hAnsi="Times New Roman" w:cs="Times New Roman"/>
                <w:color w:val="000000" w:themeColor="text1"/>
              </w:rPr>
              <w:t>Zostavax</w:t>
            </w:r>
            <w:r w:rsidRPr="0009302B">
              <w:rPr>
                <w:rFonts w:ascii="Times New Roman" w:eastAsia="標楷體" w:hAnsi="Times New Roman" w:cs="Times New Roman"/>
                <w:color w:val="000000" w:themeColor="text1"/>
              </w:rPr>
              <w:t>疫苗後如果有下列情況，請儘速就醫：</w:t>
            </w:r>
          </w:p>
          <w:p w14:paraId="6F069A5C" w14:textId="1BDC1C65" w:rsidR="00354DEB" w:rsidRPr="000C0759" w:rsidRDefault="00354DEB" w:rsidP="00417602">
            <w:pPr>
              <w:pStyle w:val="a3"/>
              <w:numPr>
                <w:ilvl w:val="0"/>
                <w:numId w:val="4"/>
              </w:numPr>
              <w:shd w:val="clear" w:color="auto" w:fill="FFFFFF"/>
              <w:ind w:leftChars="0" w:hanging="383"/>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接種後</w:t>
            </w:r>
            <w:r w:rsidRPr="000C0759">
              <w:rPr>
                <w:rFonts w:ascii="Times New Roman" w:eastAsia="標楷體" w:hAnsi="Times New Roman" w:cs="Times New Roman"/>
                <w:u w:val="words" w:color="FFFFFF" w:themeColor="background1"/>
              </w:rPr>
              <w:t>2</w:t>
            </w:r>
            <w:r w:rsidRPr="000C0759">
              <w:rPr>
                <w:rFonts w:ascii="Times New Roman" w:eastAsia="標楷體" w:hAnsi="Times New Roman" w:cs="Times New Roman"/>
                <w:u w:val="words" w:color="FFFFFF" w:themeColor="background1"/>
              </w:rPr>
              <w:t>到</w:t>
            </w:r>
            <w:r w:rsidRPr="000C0759">
              <w:rPr>
                <w:rFonts w:ascii="Times New Roman" w:eastAsia="標楷體" w:hAnsi="Times New Roman" w:cs="Times New Roman"/>
                <w:u w:val="words" w:color="FFFFFF" w:themeColor="background1"/>
              </w:rPr>
              <w:t>4</w:t>
            </w:r>
            <w:proofErr w:type="gramStart"/>
            <w:r w:rsidRPr="000C0759">
              <w:rPr>
                <w:rFonts w:ascii="Times New Roman" w:eastAsia="標楷體" w:hAnsi="Times New Roman" w:cs="Times New Roman"/>
                <w:u w:val="words" w:color="FFFFFF" w:themeColor="background1"/>
              </w:rPr>
              <w:t>週</w:t>
            </w:r>
            <w:proofErr w:type="gramEnd"/>
            <w:r w:rsidRPr="000C0759">
              <w:rPr>
                <w:rFonts w:ascii="Times New Roman" w:eastAsia="標楷體" w:hAnsi="Times New Roman" w:cs="Times New Roman"/>
                <w:u w:val="words" w:color="FFFFFF" w:themeColor="background1"/>
              </w:rPr>
              <w:t>內，出現類似水痘的水泡紅疹</w:t>
            </w:r>
            <w:r w:rsidR="00417602">
              <w:rPr>
                <w:rFonts w:ascii="Times New Roman" w:eastAsia="標楷體" w:hAnsi="Times New Roman" w:cs="Times New Roman" w:hint="eastAsia"/>
                <w:u w:val="words" w:color="FFFFFF" w:themeColor="background1"/>
              </w:rPr>
              <w:t>。</w:t>
            </w:r>
          </w:p>
          <w:p w14:paraId="6B5C9EBD" w14:textId="663A1100" w:rsidR="00354DEB" w:rsidRPr="000C0759" w:rsidRDefault="00354DEB" w:rsidP="00417602">
            <w:pPr>
              <w:pStyle w:val="a3"/>
              <w:numPr>
                <w:ilvl w:val="0"/>
                <w:numId w:val="4"/>
              </w:numPr>
              <w:shd w:val="clear" w:color="auto" w:fill="FFFFFF"/>
              <w:ind w:leftChars="0" w:hanging="383"/>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感覺不適</w:t>
            </w:r>
            <w:r w:rsidR="00417602">
              <w:rPr>
                <w:rFonts w:ascii="Times New Roman" w:eastAsia="標楷體" w:hAnsi="Times New Roman" w:cs="Times New Roman" w:hint="eastAsia"/>
                <w:u w:val="words" w:color="FFFFFF" w:themeColor="background1"/>
              </w:rPr>
              <w:t>。</w:t>
            </w:r>
          </w:p>
          <w:p w14:paraId="5B429CB0" w14:textId="5CAB23AF" w:rsidR="00354DEB" w:rsidRPr="000C0759" w:rsidRDefault="00354DEB" w:rsidP="00417602">
            <w:pPr>
              <w:pStyle w:val="a3"/>
              <w:numPr>
                <w:ilvl w:val="0"/>
                <w:numId w:val="4"/>
              </w:numPr>
              <w:shd w:val="clear" w:color="auto" w:fill="FFFFFF"/>
              <w:ind w:leftChars="0" w:hanging="383"/>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發燒</w:t>
            </w:r>
            <w:r w:rsidR="00417602">
              <w:rPr>
                <w:rFonts w:ascii="Times New Roman" w:eastAsia="標楷體" w:hAnsi="Times New Roman" w:cs="Times New Roman" w:hint="eastAsia"/>
                <w:u w:val="words" w:color="FFFFFF" w:themeColor="background1"/>
              </w:rPr>
              <w:t>。</w:t>
            </w:r>
          </w:p>
          <w:p w14:paraId="2581F8A9" w14:textId="77777777" w:rsidR="00354DEB" w:rsidRPr="000C0759" w:rsidRDefault="00354DEB" w:rsidP="00354DEB">
            <w:pPr>
              <w:pStyle w:val="Web"/>
              <w:spacing w:before="0" w:beforeAutospacing="0" w:after="0" w:afterAutospacing="0" w:line="400" w:lineRule="exact"/>
              <w:ind w:left="360"/>
              <w:jc w:val="both"/>
              <w:rPr>
                <w:rFonts w:ascii="Times New Roman" w:eastAsia="標楷體" w:hAnsi="Times New Roman" w:cs="Times New Roman"/>
                <w:u w:val="words" w:color="FFFFFF" w:themeColor="background1"/>
              </w:rPr>
            </w:pPr>
          </w:p>
          <w:p w14:paraId="19C55901" w14:textId="6D7C7842" w:rsidR="00354DEB" w:rsidRPr="00354DEB" w:rsidRDefault="00354DEB" w:rsidP="00354DEB">
            <w:pPr>
              <w:shd w:val="clear" w:color="auto" w:fill="FFFFFF"/>
              <w:jc w:val="both"/>
              <w:rPr>
                <w:rFonts w:ascii="Times New Roman" w:eastAsia="標楷體" w:hAnsi="Times New Roman" w:cs="Times New Roman"/>
                <w:u w:val="words" w:color="FFFFFF" w:themeColor="background1"/>
              </w:rPr>
            </w:pPr>
            <w:r w:rsidRPr="000C0759">
              <w:rPr>
                <w:rFonts w:ascii="Times New Roman" w:eastAsia="標楷體" w:hAnsi="Times New Roman" w:cs="Times New Roman"/>
                <w:u w:val="words" w:color="FFFFFF" w:themeColor="background1"/>
              </w:rPr>
              <w:t>醫療人員或病人懷疑因為使用（服用）藥品導致不良反應發生時，請立即通報給衛生</w:t>
            </w:r>
            <w:proofErr w:type="gramStart"/>
            <w:r w:rsidRPr="000C0759">
              <w:rPr>
                <w:rFonts w:ascii="Times New Roman" w:eastAsia="標楷體" w:hAnsi="Times New Roman" w:cs="Times New Roman"/>
                <w:u w:val="words" w:color="FFFFFF" w:themeColor="background1"/>
              </w:rPr>
              <w:t>福利部所建置</w:t>
            </w:r>
            <w:proofErr w:type="gramEnd"/>
            <w:r w:rsidRPr="000C0759">
              <w:rPr>
                <w:rFonts w:ascii="Times New Roman" w:eastAsia="標楷體" w:hAnsi="Times New Roman" w:cs="Times New Roman"/>
                <w:u w:val="words" w:color="FFFFFF" w:themeColor="background1"/>
              </w:rPr>
              <w:t>之全國藥物不良反應通報中心，並副知所屬廠商，藥物不良反應通報專線</w:t>
            </w:r>
            <w:r w:rsidRPr="000C0759">
              <w:rPr>
                <w:rFonts w:ascii="Times New Roman" w:eastAsia="標楷體" w:hAnsi="Times New Roman" w:cs="Times New Roman"/>
                <w:u w:val="words" w:color="FFFFFF" w:themeColor="background1"/>
              </w:rPr>
              <w:t>02-2396-0100</w:t>
            </w:r>
            <w:r w:rsidRPr="000C0759">
              <w:rPr>
                <w:rFonts w:ascii="Times New Roman" w:eastAsia="標楷體" w:hAnsi="Times New Roman" w:cs="Times New Roman"/>
                <w:u w:val="words" w:color="FFFFFF" w:themeColor="background1"/>
              </w:rPr>
              <w:t>，網站：</w:t>
            </w:r>
            <w:hyperlink r:id="rId10" w:history="1">
              <w:r w:rsidRPr="005C1992">
                <w:rPr>
                  <w:rStyle w:val="a4"/>
                  <w:rFonts w:ascii="Times New Roman" w:eastAsia="標楷體" w:hAnsi="Times New Roman"/>
                  <w:color w:val="auto"/>
                </w:rPr>
                <w:t>https://adr.fda.gov.tw</w:t>
              </w:r>
            </w:hyperlink>
            <w:r w:rsidRPr="000C0759">
              <w:rPr>
                <w:rFonts w:ascii="Times New Roman" w:eastAsia="標楷體" w:hAnsi="Times New Roman" w:cs="Times New Roman"/>
                <w:u w:val="words" w:color="FFFFFF" w:themeColor="background1"/>
              </w:rPr>
              <w:t>；衛生福利部食品藥物管理署獲知藥品安全訊息時，</w:t>
            </w:r>
            <w:proofErr w:type="gramStart"/>
            <w:r w:rsidRPr="000C0759">
              <w:rPr>
                <w:rFonts w:ascii="Times New Roman" w:eastAsia="標楷體" w:hAnsi="Times New Roman" w:cs="Times New Roman"/>
                <w:u w:val="words" w:color="FFFFFF" w:themeColor="background1"/>
              </w:rPr>
              <w:t>均會蒐集</w:t>
            </w:r>
            <w:proofErr w:type="gramEnd"/>
            <w:r w:rsidRPr="000C0759">
              <w:rPr>
                <w:rFonts w:ascii="Times New Roman" w:eastAsia="標楷體" w:hAnsi="Times New Roman" w:cs="Times New Roman"/>
                <w:u w:val="words" w:color="FFFFFF" w:themeColor="background1"/>
              </w:rPr>
              <w:t>彙整相關資料進行評估，並對於新增之藥品風險採取對應之風險管控</w:t>
            </w:r>
            <w:r w:rsidR="00886E90">
              <w:rPr>
                <w:rFonts w:ascii="Times New Roman" w:eastAsia="標楷體" w:hAnsi="Times New Roman" w:cs="Times New Roman" w:hint="eastAsia"/>
                <w:u w:val="words" w:color="FFFFFF" w:themeColor="background1"/>
              </w:rPr>
              <w:t>措施。</w:t>
            </w:r>
          </w:p>
        </w:tc>
      </w:tr>
    </w:tbl>
    <w:p w14:paraId="4695427F" w14:textId="77777777" w:rsidR="00A107B1" w:rsidRPr="00140C74" w:rsidRDefault="00A107B1">
      <w:pPr>
        <w:rPr>
          <w:u w:val="words" w:color="FFFFFF" w:themeColor="background1"/>
        </w:rPr>
      </w:pPr>
    </w:p>
    <w:sectPr w:rsidR="00A107B1" w:rsidRPr="00140C74" w:rsidSect="00DA25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F1F2" w14:textId="77777777" w:rsidR="00336E8E" w:rsidRDefault="00336E8E" w:rsidP="00C56BB6">
      <w:r>
        <w:separator/>
      </w:r>
    </w:p>
  </w:endnote>
  <w:endnote w:type="continuationSeparator" w:id="0">
    <w:p w14:paraId="0B81FD64" w14:textId="77777777" w:rsidR="00336E8E" w:rsidRDefault="00336E8E" w:rsidP="00C5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09D28" w14:textId="77777777" w:rsidR="00336E8E" w:rsidRDefault="00336E8E" w:rsidP="00C56BB6">
      <w:r>
        <w:separator/>
      </w:r>
    </w:p>
  </w:footnote>
  <w:footnote w:type="continuationSeparator" w:id="0">
    <w:p w14:paraId="5B670CAA" w14:textId="77777777" w:rsidR="00336E8E" w:rsidRDefault="00336E8E" w:rsidP="00C5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F81"/>
    <w:multiLevelType w:val="hybridMultilevel"/>
    <w:tmpl w:val="94C26D60"/>
    <w:lvl w:ilvl="0" w:tplc="CF9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B55800"/>
    <w:multiLevelType w:val="hybridMultilevel"/>
    <w:tmpl w:val="94C26D60"/>
    <w:lvl w:ilvl="0" w:tplc="CF9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B26FFC"/>
    <w:multiLevelType w:val="hybridMultilevel"/>
    <w:tmpl w:val="81447470"/>
    <w:lvl w:ilvl="0" w:tplc="CF9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6D5264"/>
    <w:multiLevelType w:val="hybridMultilevel"/>
    <w:tmpl w:val="3D6CBAE0"/>
    <w:lvl w:ilvl="0" w:tplc="92E6EE58">
      <w:start w:val="1"/>
      <w:numFmt w:val="decimal"/>
      <w:lvlText w:val="%1."/>
      <w:lvlJc w:val="left"/>
      <w:pPr>
        <w:ind w:left="360" w:hanging="360"/>
      </w:pPr>
      <w:rPr>
        <w:rFonts w:ascii="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BD1FCA"/>
    <w:multiLevelType w:val="hybridMultilevel"/>
    <w:tmpl w:val="AD46E55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40CB6DCE"/>
    <w:multiLevelType w:val="hybridMultilevel"/>
    <w:tmpl w:val="94C26D60"/>
    <w:lvl w:ilvl="0" w:tplc="CF9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D569A7"/>
    <w:multiLevelType w:val="hybridMultilevel"/>
    <w:tmpl w:val="4392C61E"/>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8937EF5"/>
    <w:multiLevelType w:val="hybridMultilevel"/>
    <w:tmpl w:val="94C26D60"/>
    <w:lvl w:ilvl="0" w:tplc="CF9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DE60F4"/>
    <w:multiLevelType w:val="hybridMultilevel"/>
    <w:tmpl w:val="38BC168E"/>
    <w:lvl w:ilvl="0" w:tplc="F8E4E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1C43AD"/>
    <w:multiLevelType w:val="hybridMultilevel"/>
    <w:tmpl w:val="81447470"/>
    <w:lvl w:ilvl="0" w:tplc="CF9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934CD8"/>
    <w:multiLevelType w:val="hybridMultilevel"/>
    <w:tmpl w:val="3190E2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87F1B1E"/>
    <w:multiLevelType w:val="hybridMultilevel"/>
    <w:tmpl w:val="94C26D60"/>
    <w:lvl w:ilvl="0" w:tplc="CF9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825F64"/>
    <w:multiLevelType w:val="hybridMultilevel"/>
    <w:tmpl w:val="397A53B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6E4945CD"/>
    <w:multiLevelType w:val="hybridMultilevel"/>
    <w:tmpl w:val="94C26D60"/>
    <w:lvl w:ilvl="0" w:tplc="CF9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F83CF0"/>
    <w:multiLevelType w:val="hybridMultilevel"/>
    <w:tmpl w:val="94C26D60"/>
    <w:lvl w:ilvl="0" w:tplc="CF9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B82EA2"/>
    <w:multiLevelType w:val="hybridMultilevel"/>
    <w:tmpl w:val="94C26D60"/>
    <w:lvl w:ilvl="0" w:tplc="CF9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12"/>
  </w:num>
  <w:num w:numId="5">
    <w:abstractNumId w:val="8"/>
  </w:num>
  <w:num w:numId="6">
    <w:abstractNumId w:val="4"/>
  </w:num>
  <w:num w:numId="7">
    <w:abstractNumId w:val="10"/>
  </w:num>
  <w:num w:numId="8">
    <w:abstractNumId w:val="9"/>
  </w:num>
  <w:num w:numId="9">
    <w:abstractNumId w:val="5"/>
  </w:num>
  <w:num w:numId="10">
    <w:abstractNumId w:val="14"/>
  </w:num>
  <w:num w:numId="11">
    <w:abstractNumId w:val="15"/>
  </w:num>
  <w:num w:numId="12">
    <w:abstractNumId w:val="11"/>
  </w:num>
  <w:num w:numId="13">
    <w:abstractNumId w:val="1"/>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74"/>
    <w:rsid w:val="00027BEF"/>
    <w:rsid w:val="00054840"/>
    <w:rsid w:val="0009302B"/>
    <w:rsid w:val="000C0759"/>
    <w:rsid w:val="000E7B3D"/>
    <w:rsid w:val="00140C74"/>
    <w:rsid w:val="00170EC6"/>
    <w:rsid w:val="00336E8E"/>
    <w:rsid w:val="00354DEB"/>
    <w:rsid w:val="00417602"/>
    <w:rsid w:val="0048171A"/>
    <w:rsid w:val="004950CF"/>
    <w:rsid w:val="004C3549"/>
    <w:rsid w:val="00572306"/>
    <w:rsid w:val="005C1992"/>
    <w:rsid w:val="00605119"/>
    <w:rsid w:val="006B44BC"/>
    <w:rsid w:val="00780280"/>
    <w:rsid w:val="00856680"/>
    <w:rsid w:val="00886E90"/>
    <w:rsid w:val="008C7B91"/>
    <w:rsid w:val="009301CB"/>
    <w:rsid w:val="00955694"/>
    <w:rsid w:val="00A107B1"/>
    <w:rsid w:val="00B15973"/>
    <w:rsid w:val="00B9214B"/>
    <w:rsid w:val="00BC5806"/>
    <w:rsid w:val="00C56BB6"/>
    <w:rsid w:val="00CE5929"/>
    <w:rsid w:val="00D74F26"/>
    <w:rsid w:val="00D82AE0"/>
    <w:rsid w:val="00DC4734"/>
    <w:rsid w:val="00DC7DFF"/>
    <w:rsid w:val="00FA1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7F5B"/>
  <w15:chartTrackingRefBased/>
  <w15:docId w15:val="{785E50E3-EDCF-4C04-A1D6-374BBBFF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C74"/>
    <w:rPr>
      <w:rFonts w:ascii="新細明體" w:eastAsia="新細明體" w:hAnsi="新細明體" w:cs="新細明體"/>
      <w:kern w:val="0"/>
      <w:szCs w:val="24"/>
    </w:rPr>
  </w:style>
  <w:style w:type="paragraph" w:styleId="1">
    <w:name w:val="heading 1"/>
    <w:basedOn w:val="a"/>
    <w:link w:val="10"/>
    <w:uiPriority w:val="99"/>
    <w:qFormat/>
    <w:rsid w:val="00140C74"/>
    <w:pPr>
      <w:spacing w:before="100" w:beforeAutospacing="1" w:after="100" w:afterAutospacing="1"/>
      <w:outlineLvl w:val="0"/>
    </w:pPr>
    <w:rPr>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140C74"/>
    <w:rPr>
      <w:rFonts w:ascii="新細明體" w:eastAsia="新細明體" w:hAnsi="新細明體" w:cs="新細明體"/>
      <w:b/>
      <w:bCs/>
      <w:kern w:val="36"/>
      <w:sz w:val="48"/>
      <w:szCs w:val="48"/>
      <w:lang w:bidi="hi-IN"/>
    </w:rPr>
  </w:style>
  <w:style w:type="paragraph" w:styleId="Web">
    <w:name w:val="Normal (Web)"/>
    <w:basedOn w:val="a"/>
    <w:uiPriority w:val="99"/>
    <w:rsid w:val="00140C74"/>
    <w:pPr>
      <w:spacing w:before="100" w:beforeAutospacing="1" w:after="100" w:afterAutospacing="1"/>
    </w:pPr>
    <w:rPr>
      <w:rFonts w:ascii="Arial Unicode MS" w:eastAsia="Arial Unicode MS" w:hAnsi="Arial Unicode MS" w:cs="Arial Unicode MS"/>
    </w:rPr>
  </w:style>
  <w:style w:type="paragraph" w:styleId="a3">
    <w:name w:val="List Paragraph"/>
    <w:basedOn w:val="a"/>
    <w:uiPriority w:val="99"/>
    <w:qFormat/>
    <w:rsid w:val="00140C74"/>
    <w:pPr>
      <w:ind w:leftChars="200" w:left="480"/>
    </w:pPr>
  </w:style>
  <w:style w:type="character" w:styleId="a4">
    <w:name w:val="Hyperlink"/>
    <w:basedOn w:val="a0"/>
    <w:uiPriority w:val="99"/>
    <w:rsid w:val="00140C74"/>
    <w:rPr>
      <w:rFonts w:cs="Times New Roman"/>
      <w:color w:val="0000FF"/>
      <w:u w:val="single"/>
    </w:rPr>
  </w:style>
  <w:style w:type="character" w:styleId="a5">
    <w:name w:val="annotation reference"/>
    <w:basedOn w:val="a0"/>
    <w:uiPriority w:val="99"/>
    <w:semiHidden/>
    <w:unhideWhenUsed/>
    <w:rsid w:val="00140C74"/>
    <w:rPr>
      <w:sz w:val="18"/>
      <w:szCs w:val="18"/>
    </w:rPr>
  </w:style>
  <w:style w:type="paragraph" w:styleId="a6">
    <w:name w:val="annotation text"/>
    <w:basedOn w:val="a"/>
    <w:link w:val="a7"/>
    <w:uiPriority w:val="99"/>
    <w:semiHidden/>
    <w:unhideWhenUsed/>
    <w:rsid w:val="00140C74"/>
  </w:style>
  <w:style w:type="character" w:customStyle="1" w:styleId="a7">
    <w:name w:val="註解文字 字元"/>
    <w:basedOn w:val="a0"/>
    <w:link w:val="a6"/>
    <w:uiPriority w:val="99"/>
    <w:semiHidden/>
    <w:rsid w:val="00140C74"/>
    <w:rPr>
      <w:rFonts w:ascii="新細明體" w:eastAsia="新細明體" w:hAnsi="新細明體" w:cs="新細明體"/>
      <w:kern w:val="0"/>
      <w:szCs w:val="24"/>
    </w:rPr>
  </w:style>
  <w:style w:type="paragraph" w:styleId="a8">
    <w:name w:val="Balloon Text"/>
    <w:basedOn w:val="a"/>
    <w:link w:val="a9"/>
    <w:uiPriority w:val="99"/>
    <w:semiHidden/>
    <w:unhideWhenUsed/>
    <w:rsid w:val="00140C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40C74"/>
    <w:rPr>
      <w:rFonts w:asciiTheme="majorHAnsi" w:eastAsiaTheme="majorEastAsia" w:hAnsiTheme="majorHAnsi" w:cstheme="majorBidi"/>
      <w:kern w:val="0"/>
      <w:sz w:val="18"/>
      <w:szCs w:val="18"/>
    </w:rPr>
  </w:style>
  <w:style w:type="paragraph" w:styleId="aa">
    <w:name w:val="header"/>
    <w:basedOn w:val="a"/>
    <w:link w:val="ab"/>
    <w:uiPriority w:val="99"/>
    <w:unhideWhenUsed/>
    <w:rsid w:val="00C56BB6"/>
    <w:pPr>
      <w:tabs>
        <w:tab w:val="center" w:pos="4153"/>
        <w:tab w:val="right" w:pos="8306"/>
      </w:tabs>
      <w:snapToGrid w:val="0"/>
    </w:pPr>
    <w:rPr>
      <w:sz w:val="20"/>
      <w:szCs w:val="20"/>
    </w:rPr>
  </w:style>
  <w:style w:type="character" w:customStyle="1" w:styleId="ab">
    <w:name w:val="頁首 字元"/>
    <w:basedOn w:val="a0"/>
    <w:link w:val="aa"/>
    <w:uiPriority w:val="99"/>
    <w:rsid w:val="00C56BB6"/>
    <w:rPr>
      <w:rFonts w:ascii="新細明體" w:eastAsia="新細明體" w:hAnsi="新細明體" w:cs="新細明體"/>
      <w:kern w:val="0"/>
      <w:sz w:val="20"/>
      <w:szCs w:val="20"/>
    </w:rPr>
  </w:style>
  <w:style w:type="paragraph" w:styleId="ac">
    <w:name w:val="footer"/>
    <w:basedOn w:val="a"/>
    <w:link w:val="ad"/>
    <w:uiPriority w:val="99"/>
    <w:unhideWhenUsed/>
    <w:rsid w:val="00C56BB6"/>
    <w:pPr>
      <w:tabs>
        <w:tab w:val="center" w:pos="4153"/>
        <w:tab w:val="right" w:pos="8306"/>
      </w:tabs>
      <w:snapToGrid w:val="0"/>
    </w:pPr>
    <w:rPr>
      <w:sz w:val="20"/>
      <w:szCs w:val="20"/>
    </w:rPr>
  </w:style>
  <w:style w:type="character" w:customStyle="1" w:styleId="ad">
    <w:name w:val="頁尾 字元"/>
    <w:basedOn w:val="a0"/>
    <w:link w:val="ac"/>
    <w:uiPriority w:val="99"/>
    <w:rsid w:val="00C56BB6"/>
    <w:rPr>
      <w:rFonts w:ascii="新細明體" w:eastAsia="新細明體" w:hAnsi="新細明體" w:cs="新細明體"/>
      <w:kern w:val="0"/>
      <w:sz w:val="20"/>
      <w:szCs w:val="20"/>
    </w:rPr>
  </w:style>
  <w:style w:type="character" w:styleId="ae">
    <w:name w:val="Unresolved Mention"/>
    <w:basedOn w:val="a0"/>
    <w:uiPriority w:val="99"/>
    <w:semiHidden/>
    <w:unhideWhenUsed/>
    <w:rsid w:val="0041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fda.gov.tw/MLMS/H0001D.aspx?Type=Lic&amp;LicId=100008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s://www.tga.gov.au/alert/zostavax-vaccine-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D5FD-B4A1-45F1-8896-473E5816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Office Word</Application>
  <DocSecurity>0</DocSecurity>
  <Lines>16</Lines>
  <Paragraphs>4</Paragraphs>
  <ScaleCrop>false</ScaleCrop>
  <Company>TDRF</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yenfangszu</dc:creator>
  <cp:keywords/>
  <dc:description/>
  <cp:lastModifiedBy>黃暐涵</cp:lastModifiedBy>
  <cp:revision>2</cp:revision>
  <cp:lastPrinted>2021-07-22T01:57:00Z</cp:lastPrinted>
  <dcterms:created xsi:type="dcterms:W3CDTF">2021-07-22T02:03:00Z</dcterms:created>
  <dcterms:modified xsi:type="dcterms:W3CDTF">2021-07-22T02:03:00Z</dcterms:modified>
</cp:coreProperties>
</file>