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CF39" w14:textId="7AA031F4" w:rsidR="00874639" w:rsidRPr="00C57C97" w:rsidRDefault="004F5977" w:rsidP="00707B8C">
      <w:pPr>
        <w:jc w:val="center"/>
        <w:rPr>
          <w:rFonts w:ascii="Times New Roman" w:eastAsia="標楷體" w:hAnsi="Times New Roman" w:cs="Times New Roman"/>
          <w:b/>
          <w:sz w:val="36"/>
          <w:szCs w:val="36"/>
        </w:rPr>
      </w:pPr>
      <w:r w:rsidRPr="00300756">
        <w:rPr>
          <w:rFonts w:ascii="Times New Roman" w:eastAsia="標楷體" w:hAnsi="Times New Roman" w:cs="Times New Roman"/>
          <w:b/>
          <w:sz w:val="36"/>
          <w:szCs w:val="36"/>
        </w:rPr>
        <w:t>Prolia</w:t>
      </w:r>
      <w:r w:rsidRPr="00A301CF">
        <w:rPr>
          <w:rFonts w:ascii="Times New Roman" w:eastAsia="標楷體" w:hAnsi="Times New Roman" w:cs="Times New Roman"/>
          <w:b/>
          <w:sz w:val="36"/>
          <w:szCs w:val="36"/>
          <w:vertAlign w:val="superscript"/>
        </w:rPr>
        <w:t>®</w:t>
      </w:r>
      <w:r w:rsidRPr="009E5F93">
        <w:rPr>
          <w:rFonts w:ascii="Times New Roman" w:eastAsia="標楷體" w:hAnsi="Times New Roman" w:cs="Times New Roman"/>
          <w:b/>
          <w:sz w:val="36"/>
          <w:szCs w:val="36"/>
        </w:rPr>
        <w:t>(</w:t>
      </w:r>
      <w:r>
        <w:rPr>
          <w:rFonts w:ascii="Times New Roman" w:eastAsia="標楷體" w:hAnsi="Times New Roman" w:cs="Times New Roman" w:hint="eastAsia"/>
          <w:b/>
          <w:sz w:val="36"/>
          <w:szCs w:val="36"/>
        </w:rPr>
        <w:t>d</w:t>
      </w:r>
      <w:r w:rsidR="00300756" w:rsidRPr="00300756">
        <w:rPr>
          <w:rFonts w:ascii="Times New Roman" w:eastAsia="標楷體" w:hAnsi="Times New Roman" w:cs="Times New Roman"/>
          <w:b/>
          <w:sz w:val="36"/>
          <w:szCs w:val="36"/>
        </w:rPr>
        <w:t>enosumab</w:t>
      </w:r>
      <w:r w:rsidR="00300756" w:rsidRPr="00300756" w:rsidDel="00300756">
        <w:rPr>
          <w:rFonts w:ascii="Times New Roman" w:eastAsia="標楷體" w:hAnsi="Times New Roman" w:cs="Times New Roman"/>
          <w:b/>
          <w:sz w:val="36"/>
          <w:szCs w:val="36"/>
        </w:rPr>
        <w:t xml:space="preserve"> </w:t>
      </w:r>
      <w:r w:rsidR="00300756">
        <w:rPr>
          <w:rFonts w:ascii="Times New Roman" w:eastAsia="標楷體" w:hAnsi="Times New Roman" w:cs="Times New Roman"/>
          <w:b/>
          <w:sz w:val="36"/>
          <w:szCs w:val="36"/>
        </w:rPr>
        <w:t>60mg</w:t>
      </w:r>
      <w:r w:rsidR="009E5F93" w:rsidRPr="009E5F93">
        <w:rPr>
          <w:rFonts w:ascii="Times New Roman" w:eastAsia="標楷體" w:hAnsi="Times New Roman" w:cs="Times New Roman"/>
          <w:b/>
          <w:sz w:val="36"/>
          <w:szCs w:val="36"/>
        </w:rPr>
        <w:t>)</w:t>
      </w:r>
      <w:r w:rsidR="00753431">
        <w:rPr>
          <w:rFonts w:ascii="Times New Roman" w:eastAsia="標楷體" w:hAnsi="Times New Roman" w:cs="Times New Roman" w:hint="eastAsia"/>
          <w:b/>
          <w:sz w:val="36"/>
          <w:szCs w:val="36"/>
        </w:rPr>
        <w:t xml:space="preserve"> </w:t>
      </w:r>
      <w:r w:rsidR="00C57C97" w:rsidRPr="00C57C97">
        <w:rPr>
          <w:rFonts w:ascii="Times New Roman" w:eastAsia="標楷體" w:hAnsi="Times New Roman" w:cs="Times New Roman"/>
          <w:b/>
          <w:sz w:val="36"/>
          <w:szCs w:val="36"/>
        </w:rPr>
        <w:t>藥品安全資訊風險溝通表</w:t>
      </w:r>
    </w:p>
    <w:p w14:paraId="627EC8FF" w14:textId="6725507F" w:rsidR="00707B8C" w:rsidRPr="00147E19" w:rsidRDefault="00016247" w:rsidP="00707B8C">
      <w:pPr>
        <w:jc w:val="right"/>
        <w:rPr>
          <w:rFonts w:ascii="Times New Roman" w:eastAsia="標楷體" w:hAnsi="Times New Roman" w:cs="Times New Roman"/>
          <w:szCs w:val="24"/>
        </w:rPr>
      </w:pPr>
      <w:r>
        <w:rPr>
          <w:rFonts w:ascii="Times New Roman" w:eastAsia="標楷體" w:hAnsi="Times New Roman" w:cs="Times New Roman" w:hint="eastAsia"/>
          <w:szCs w:val="24"/>
        </w:rPr>
        <w:t>製表</w:t>
      </w:r>
      <w:r w:rsidR="00707B8C" w:rsidRPr="00147E19">
        <w:rPr>
          <w:rFonts w:ascii="Times New Roman" w:eastAsia="標楷體" w:hAnsi="Times New Roman" w:cs="Times New Roman"/>
          <w:szCs w:val="24"/>
        </w:rPr>
        <w:t>日期：</w:t>
      </w:r>
      <w:r w:rsidR="008E2F56">
        <w:rPr>
          <w:rFonts w:ascii="Times New Roman" w:eastAsia="標楷體" w:hAnsi="Times New Roman" w:cs="Times New Roman"/>
          <w:szCs w:val="24"/>
        </w:rPr>
        <w:t>1</w:t>
      </w:r>
      <w:r w:rsidR="00AD657B">
        <w:rPr>
          <w:rFonts w:ascii="Times New Roman" w:eastAsia="標楷體" w:hAnsi="Times New Roman" w:cs="Times New Roman"/>
          <w:szCs w:val="24"/>
        </w:rPr>
        <w:t>11</w:t>
      </w:r>
      <w:r w:rsidR="00707B8C" w:rsidRPr="00147E19">
        <w:rPr>
          <w:rFonts w:ascii="Times New Roman" w:eastAsia="標楷體" w:hAnsi="Times New Roman" w:cs="Times New Roman"/>
          <w:szCs w:val="24"/>
        </w:rPr>
        <w:t>/</w:t>
      </w:r>
      <w:r>
        <w:rPr>
          <w:rFonts w:ascii="Times New Roman" w:eastAsia="標楷體" w:hAnsi="Times New Roman" w:cs="Times New Roman" w:hint="eastAsia"/>
          <w:szCs w:val="24"/>
        </w:rPr>
        <w:t>6</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7741"/>
      </w:tblGrid>
      <w:tr w:rsidR="00707B8C" w:rsidRPr="00147E19" w14:paraId="1074C10E" w14:textId="77777777" w:rsidTr="00E445FF">
        <w:trPr>
          <w:trHeight w:val="333"/>
          <w:jc w:val="center"/>
        </w:trPr>
        <w:tc>
          <w:tcPr>
            <w:tcW w:w="1988" w:type="dxa"/>
            <w:vAlign w:val="center"/>
          </w:tcPr>
          <w:p w14:paraId="34F1D241" w14:textId="77777777"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藥品成分</w:t>
            </w:r>
          </w:p>
        </w:tc>
        <w:tc>
          <w:tcPr>
            <w:tcW w:w="7741" w:type="dxa"/>
          </w:tcPr>
          <w:p w14:paraId="3C1BC581" w14:textId="6E30D752" w:rsidR="00AD657B" w:rsidRPr="00AD657B" w:rsidRDefault="00300756" w:rsidP="009E5F93">
            <w:pPr>
              <w:widowControl/>
              <w:jc w:val="both"/>
              <w:outlineLvl w:val="0"/>
              <w:rPr>
                <w:rFonts w:ascii="Times New Roman" w:eastAsia="標楷體" w:hAnsi="Times New Roman" w:cs="Times New Roman"/>
                <w:color w:val="000000" w:themeColor="text1"/>
                <w:szCs w:val="24"/>
              </w:rPr>
            </w:pPr>
            <w:r w:rsidRPr="00300756">
              <w:rPr>
                <w:rFonts w:ascii="Times New Roman" w:eastAsia="標楷體" w:hAnsi="Times New Roman" w:cs="Times New Roman"/>
                <w:color w:val="000000" w:themeColor="text1"/>
                <w:szCs w:val="24"/>
              </w:rPr>
              <w:t>denosumab</w:t>
            </w:r>
          </w:p>
        </w:tc>
      </w:tr>
      <w:tr w:rsidR="00707B8C" w:rsidRPr="00147E19" w14:paraId="6DC252F5" w14:textId="77777777" w:rsidTr="00E445FF">
        <w:trPr>
          <w:trHeight w:val="333"/>
          <w:jc w:val="center"/>
        </w:trPr>
        <w:tc>
          <w:tcPr>
            <w:tcW w:w="1988" w:type="dxa"/>
            <w:vAlign w:val="center"/>
          </w:tcPr>
          <w:p w14:paraId="6A1EEBBB" w14:textId="77777777"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藥品名稱</w:t>
            </w:r>
          </w:p>
          <w:p w14:paraId="3F46673C" w14:textId="77777777"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及許可證字號</w:t>
            </w:r>
          </w:p>
        </w:tc>
        <w:tc>
          <w:tcPr>
            <w:tcW w:w="7741" w:type="dxa"/>
          </w:tcPr>
          <w:p w14:paraId="790E1623" w14:textId="68F1F777" w:rsidR="00071115" w:rsidRDefault="00071115" w:rsidP="00095F30">
            <w:pPr>
              <w:widowControl/>
              <w:jc w:val="both"/>
              <w:outlineLvl w:val="0"/>
              <w:rPr>
                <w:rFonts w:ascii="Times New Roman" w:eastAsia="標楷體" w:hAnsi="Times New Roman" w:cs="Times New Roman"/>
                <w:color w:val="000000"/>
                <w:kern w:val="36"/>
                <w:szCs w:val="24"/>
                <w:lang w:bidi="hi-IN"/>
              </w:rPr>
            </w:pPr>
            <w:r w:rsidRPr="00931790">
              <w:rPr>
                <w:rFonts w:ascii="Times New Roman" w:eastAsia="標楷體" w:hAnsi="標楷體" w:cs="Times New Roman"/>
                <w:color w:val="000000" w:themeColor="text1"/>
                <w:szCs w:val="24"/>
              </w:rPr>
              <w:t>衛生福利部核准</w:t>
            </w:r>
            <w:r w:rsidR="004F5977" w:rsidRPr="004F5977">
              <w:rPr>
                <w:rFonts w:ascii="Times New Roman" w:eastAsia="標楷體" w:hAnsi="標楷體" w:cs="Times New Roman"/>
                <w:color w:val="000000" w:themeColor="text1"/>
                <w:szCs w:val="24"/>
              </w:rPr>
              <w:t>Prolia</w:t>
            </w:r>
            <w:r w:rsidR="004F5977" w:rsidRPr="004F5977">
              <w:rPr>
                <w:rFonts w:ascii="Times New Roman" w:eastAsia="標楷體" w:hAnsi="標楷體" w:cs="Times New Roman"/>
                <w:color w:val="000000" w:themeColor="text1"/>
                <w:szCs w:val="24"/>
              </w:rPr>
              <w:t>®</w:t>
            </w:r>
            <w:r w:rsidR="00753431">
              <w:rPr>
                <w:rFonts w:ascii="Times New Roman" w:eastAsia="標楷體" w:hAnsi="標楷體" w:cs="Times New Roman" w:hint="eastAsia"/>
                <w:color w:val="000000" w:themeColor="text1"/>
                <w:szCs w:val="24"/>
              </w:rPr>
              <w:t xml:space="preserve"> </w:t>
            </w:r>
            <w:r w:rsidR="004F5977" w:rsidRPr="004F5977">
              <w:rPr>
                <w:rFonts w:ascii="Times New Roman" w:eastAsia="標楷體" w:hAnsi="標楷體" w:cs="Times New Roman"/>
                <w:color w:val="000000" w:themeColor="text1"/>
                <w:szCs w:val="24"/>
              </w:rPr>
              <w:t>(denosumab 60mg)</w:t>
            </w:r>
            <w:r w:rsidR="00753431">
              <w:rPr>
                <w:rFonts w:ascii="Times New Roman" w:eastAsia="標楷體" w:hAnsi="標楷體" w:cs="Times New Roman" w:hint="eastAsia"/>
                <w:color w:val="000000" w:themeColor="text1"/>
                <w:szCs w:val="24"/>
              </w:rPr>
              <w:t xml:space="preserve"> </w:t>
            </w:r>
            <w:r w:rsidRPr="00931790">
              <w:rPr>
                <w:rFonts w:ascii="Times New Roman" w:eastAsia="標楷體" w:hAnsi="標楷體" w:cs="Times New Roman"/>
                <w:color w:val="000000" w:themeColor="text1"/>
                <w:szCs w:val="24"/>
              </w:rPr>
              <w:t>藥品許可證共</w:t>
            </w:r>
            <w:r w:rsidR="005F5CB2">
              <w:rPr>
                <w:rFonts w:ascii="Times New Roman" w:eastAsia="標楷體" w:hAnsi="標楷體" w:cs="Times New Roman"/>
                <w:color w:val="000000" w:themeColor="text1"/>
                <w:szCs w:val="24"/>
              </w:rPr>
              <w:t>1</w:t>
            </w:r>
            <w:r w:rsidRPr="00931790">
              <w:rPr>
                <w:rFonts w:ascii="Times New Roman" w:eastAsia="標楷體" w:hAnsi="標楷體" w:cs="Times New Roman"/>
                <w:color w:val="000000" w:themeColor="text1"/>
                <w:szCs w:val="24"/>
              </w:rPr>
              <w:t>張</w:t>
            </w:r>
            <w:r w:rsidR="00753431">
              <w:rPr>
                <w:rFonts w:ascii="Times New Roman" w:eastAsia="標楷體" w:hAnsi="標楷體" w:cs="Times New Roman" w:hint="eastAsia"/>
                <w:color w:val="000000" w:themeColor="text1"/>
                <w:szCs w:val="24"/>
              </w:rPr>
              <w:t>（</w:t>
            </w:r>
            <w:r w:rsidR="004F5977">
              <w:rPr>
                <w:rFonts w:ascii="Times New Roman" w:eastAsia="標楷體" w:hAnsi="標楷體" w:cs="Times New Roman" w:hint="eastAsia"/>
                <w:color w:val="000000" w:themeColor="text1"/>
                <w:szCs w:val="24"/>
              </w:rPr>
              <w:t>衛署菌</w:t>
            </w:r>
            <w:proofErr w:type="gramStart"/>
            <w:r w:rsidR="004F5977">
              <w:rPr>
                <w:rFonts w:ascii="Times New Roman" w:eastAsia="標楷體" w:hAnsi="標楷體" w:cs="Times New Roman" w:hint="eastAsia"/>
                <w:color w:val="000000" w:themeColor="text1"/>
                <w:szCs w:val="24"/>
              </w:rPr>
              <w:t>疫輸字</w:t>
            </w:r>
            <w:proofErr w:type="gramEnd"/>
            <w:r w:rsidR="004F5977">
              <w:rPr>
                <w:rFonts w:ascii="Times New Roman" w:eastAsia="標楷體" w:hAnsi="標楷體" w:cs="Times New Roman" w:hint="eastAsia"/>
                <w:color w:val="000000" w:themeColor="text1"/>
                <w:szCs w:val="24"/>
              </w:rPr>
              <w:t>第</w:t>
            </w:r>
            <w:r w:rsidR="004F5977">
              <w:rPr>
                <w:rFonts w:ascii="Times New Roman" w:eastAsia="標楷體" w:hAnsi="標楷體" w:cs="Times New Roman" w:hint="eastAsia"/>
                <w:color w:val="000000" w:themeColor="text1"/>
                <w:szCs w:val="24"/>
              </w:rPr>
              <w:t>000918</w:t>
            </w:r>
            <w:r w:rsidR="004F5977">
              <w:rPr>
                <w:rFonts w:ascii="Times New Roman" w:eastAsia="標楷體" w:hAnsi="標楷體" w:cs="Times New Roman" w:hint="eastAsia"/>
                <w:color w:val="000000" w:themeColor="text1"/>
                <w:szCs w:val="24"/>
              </w:rPr>
              <w:t>號</w:t>
            </w:r>
            <w:r w:rsidR="00753431">
              <w:rPr>
                <w:rFonts w:ascii="Times New Roman" w:eastAsia="標楷體" w:hAnsi="標楷體" w:cs="Times New Roman" w:hint="eastAsia"/>
                <w:color w:val="000000" w:themeColor="text1"/>
                <w:szCs w:val="24"/>
              </w:rPr>
              <w:t>）</w:t>
            </w:r>
            <w:r w:rsidRPr="00931790">
              <w:rPr>
                <w:rFonts w:ascii="Times New Roman" w:eastAsia="標楷體" w:hAnsi="標楷體" w:cs="Times New Roman"/>
                <w:color w:val="000000" w:themeColor="text1"/>
                <w:szCs w:val="24"/>
              </w:rPr>
              <w:t>。</w:t>
            </w:r>
          </w:p>
          <w:p w14:paraId="3095614B" w14:textId="77777777" w:rsidR="00707B8C" w:rsidRPr="00147E19" w:rsidRDefault="00707B8C" w:rsidP="00095F30">
            <w:pPr>
              <w:widowControl/>
              <w:jc w:val="both"/>
              <w:outlineLvl w:val="0"/>
              <w:rPr>
                <w:rFonts w:ascii="Times New Roman" w:eastAsia="標楷體" w:hAnsi="Times New Roman" w:cs="Times New Roman"/>
                <w:color w:val="000000"/>
                <w:kern w:val="36"/>
                <w:szCs w:val="24"/>
                <w:lang w:bidi="hi-IN"/>
              </w:rPr>
            </w:pPr>
            <w:r w:rsidRPr="00147E19">
              <w:rPr>
                <w:rFonts w:ascii="Times New Roman" w:eastAsia="標楷體" w:hAnsi="Times New Roman" w:cs="Times New Roman"/>
                <w:color w:val="000000"/>
                <w:kern w:val="36"/>
                <w:szCs w:val="24"/>
                <w:lang w:bidi="hi-IN"/>
              </w:rPr>
              <w:t>查詢網址</w:t>
            </w:r>
            <w:r w:rsidR="00095F30">
              <w:rPr>
                <w:rFonts w:ascii="Times New Roman" w:eastAsia="標楷體" w:hAnsi="Times New Roman" w:cs="Times New Roman" w:hint="eastAsia"/>
                <w:color w:val="000000"/>
                <w:kern w:val="36"/>
                <w:szCs w:val="24"/>
                <w:lang w:bidi="hi-IN"/>
              </w:rPr>
              <w:t>：</w:t>
            </w:r>
            <w:hyperlink r:id="rId8" w:history="1">
              <w:r w:rsidRPr="00147E19">
                <w:rPr>
                  <w:rFonts w:ascii="Times New Roman" w:eastAsia="標楷體" w:hAnsi="Times New Roman" w:cs="Times New Roman"/>
                  <w:bCs/>
                  <w:color w:val="0000FF"/>
                  <w:kern w:val="36"/>
                  <w:szCs w:val="24"/>
                  <w:u w:val="single"/>
                  <w:lang w:bidi="hi-IN"/>
                </w:rPr>
                <w:t>https://www.fda.gov.tw/mlms/H0001.aspx</w:t>
              </w:r>
            </w:hyperlink>
          </w:p>
        </w:tc>
      </w:tr>
      <w:tr w:rsidR="00707B8C" w:rsidRPr="00147E19" w14:paraId="71563CDB" w14:textId="77777777" w:rsidTr="00E445FF">
        <w:trPr>
          <w:trHeight w:val="333"/>
          <w:jc w:val="center"/>
        </w:trPr>
        <w:tc>
          <w:tcPr>
            <w:tcW w:w="1988" w:type="dxa"/>
            <w:vAlign w:val="center"/>
          </w:tcPr>
          <w:p w14:paraId="52F5839A" w14:textId="77777777"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color w:val="000000"/>
                <w:szCs w:val="24"/>
              </w:rPr>
              <w:t>適應症</w:t>
            </w:r>
          </w:p>
        </w:tc>
        <w:tc>
          <w:tcPr>
            <w:tcW w:w="7741" w:type="dxa"/>
          </w:tcPr>
          <w:p w14:paraId="101E2269" w14:textId="246A7C96" w:rsidR="00071115" w:rsidRPr="00071115" w:rsidRDefault="00071115" w:rsidP="00071115">
            <w:pPr>
              <w:pStyle w:val="aa"/>
              <w:numPr>
                <w:ilvl w:val="0"/>
                <w:numId w:val="12"/>
              </w:numPr>
              <w:tabs>
                <w:tab w:val="left" w:pos="1010"/>
              </w:tabs>
              <w:ind w:leftChars="0"/>
              <w:jc w:val="both"/>
              <w:rPr>
                <w:rFonts w:ascii="Times New Roman" w:eastAsia="標楷體" w:hAnsi="Times New Roman" w:cs="Times New Roman"/>
                <w:color w:val="000000"/>
                <w:szCs w:val="24"/>
              </w:rPr>
            </w:pPr>
            <w:r w:rsidRPr="00456CB4">
              <w:rPr>
                <w:rFonts w:ascii="Times New Roman" w:eastAsia="標楷體" w:hAnsi="Times New Roman"/>
                <w:b/>
                <w:color w:val="000000" w:themeColor="text1"/>
                <w:szCs w:val="24"/>
              </w:rPr>
              <w:t>治療有骨折高風險性之停經後婦女骨質疏鬆症。</w:t>
            </w:r>
            <w:r w:rsidRPr="00071115">
              <w:rPr>
                <w:rFonts w:ascii="Times New Roman" w:eastAsia="標楷體" w:hAnsi="Times New Roman"/>
                <w:color w:val="000000" w:themeColor="text1"/>
                <w:szCs w:val="24"/>
              </w:rPr>
              <w:t>說明：有骨折高風險性之停經後婦女骨質疏鬆症，包含下列任</w:t>
            </w:r>
            <w:proofErr w:type="gramStart"/>
            <w:r w:rsidRPr="00071115">
              <w:rPr>
                <w:rFonts w:ascii="Times New Roman" w:eastAsia="標楷體" w:hAnsi="Times New Roman"/>
                <w:color w:val="000000" w:themeColor="text1"/>
                <w:szCs w:val="24"/>
              </w:rPr>
              <w:t>一</w:t>
            </w:r>
            <w:proofErr w:type="gramEnd"/>
            <w:r w:rsidRPr="00071115">
              <w:rPr>
                <w:rFonts w:ascii="Times New Roman" w:eastAsia="標楷體" w:hAnsi="Times New Roman"/>
                <w:color w:val="000000" w:themeColor="text1"/>
                <w:szCs w:val="24"/>
              </w:rPr>
              <w:t>狀況：有骨質疏鬆症骨折病史、具有多項骨折危險因子、先前接受其他骨質疏鬆症療法失敗或無法耐受其他骨質疏鬆症療法之病</w:t>
            </w:r>
            <w:r w:rsidR="005F6C81">
              <w:rPr>
                <w:rFonts w:ascii="Times New Roman" w:eastAsia="標楷體" w:hAnsi="Times New Roman" w:hint="eastAsia"/>
                <w:color w:val="000000" w:themeColor="text1"/>
                <w:szCs w:val="24"/>
              </w:rPr>
              <w:t>人</w:t>
            </w:r>
            <w:r w:rsidRPr="00071115">
              <w:rPr>
                <w:rFonts w:ascii="Times New Roman" w:eastAsia="標楷體" w:hAnsi="Times New Roman"/>
                <w:color w:val="000000" w:themeColor="text1"/>
                <w:szCs w:val="24"/>
              </w:rPr>
              <w:t>。</w:t>
            </w:r>
            <w:r w:rsidR="005F6C81" w:rsidRPr="005F6C81">
              <w:rPr>
                <w:rFonts w:ascii="Times New Roman" w:eastAsia="標楷體" w:hAnsi="Times New Roman" w:hint="eastAsia"/>
                <w:color w:val="000000" w:themeColor="text1"/>
                <w:szCs w:val="24"/>
              </w:rPr>
              <w:t>對患有骨質疏鬆症之停經後婦女，</w:t>
            </w:r>
            <w:r w:rsidR="005F6C81" w:rsidRPr="005F6C81">
              <w:rPr>
                <w:rFonts w:ascii="Times New Roman" w:eastAsia="標楷體" w:hAnsi="Times New Roman" w:hint="eastAsia"/>
                <w:color w:val="000000" w:themeColor="text1"/>
                <w:szCs w:val="24"/>
              </w:rPr>
              <w:t>Prolia</w:t>
            </w:r>
            <w:r w:rsidR="005F6C81" w:rsidRPr="005F6C81">
              <w:rPr>
                <w:rFonts w:ascii="Times New Roman" w:eastAsia="標楷體" w:hAnsi="Times New Roman" w:hint="eastAsia"/>
                <w:color w:val="000000" w:themeColor="text1"/>
                <w:szCs w:val="24"/>
              </w:rPr>
              <w:t>可降低脊椎、非脊椎和髖骨骨折的發生率。</w:t>
            </w:r>
          </w:p>
          <w:p w14:paraId="5C407996" w14:textId="07B02AAB" w:rsidR="00071115" w:rsidRPr="005F6C81" w:rsidRDefault="00071115" w:rsidP="005F6C81">
            <w:pPr>
              <w:pStyle w:val="aa"/>
              <w:numPr>
                <w:ilvl w:val="0"/>
                <w:numId w:val="12"/>
              </w:numPr>
              <w:tabs>
                <w:tab w:val="left" w:pos="1010"/>
              </w:tabs>
              <w:ind w:leftChars="0"/>
              <w:jc w:val="both"/>
              <w:rPr>
                <w:rFonts w:ascii="Times New Roman" w:eastAsia="標楷體" w:hAnsi="Times New Roman" w:cs="Times New Roman"/>
                <w:color w:val="000000"/>
                <w:szCs w:val="24"/>
              </w:rPr>
            </w:pPr>
            <w:r w:rsidRPr="005F6C81">
              <w:rPr>
                <w:rFonts w:ascii="Times New Roman" w:eastAsia="標楷體" w:hAnsi="Times New Roman"/>
                <w:b/>
                <w:color w:val="000000" w:themeColor="text1"/>
                <w:szCs w:val="24"/>
              </w:rPr>
              <w:t>治療有高度骨折風險之骨質疏鬆症男性</w:t>
            </w:r>
            <w:r w:rsidR="005F6C81" w:rsidRPr="005F6C81">
              <w:rPr>
                <w:rFonts w:ascii="Times New Roman" w:eastAsia="標楷體" w:hAnsi="Times New Roman" w:hint="eastAsia"/>
                <w:b/>
                <w:color w:val="000000" w:themeColor="text1"/>
                <w:szCs w:val="24"/>
              </w:rPr>
              <w:t>病人</w:t>
            </w:r>
            <w:r w:rsidRPr="005F6C81">
              <w:rPr>
                <w:rFonts w:ascii="Times New Roman" w:eastAsia="標楷體" w:hAnsi="Times New Roman"/>
                <w:b/>
                <w:color w:val="000000" w:themeColor="text1"/>
                <w:szCs w:val="24"/>
              </w:rPr>
              <w:t>，以增加骨量</w:t>
            </w:r>
            <w:r w:rsidRPr="005F6C81">
              <w:rPr>
                <w:rFonts w:ascii="Times New Roman" w:eastAsia="標楷體" w:hAnsi="Times New Roman"/>
                <w:b/>
                <w:color w:val="000000" w:themeColor="text1"/>
                <w:szCs w:val="24"/>
              </w:rPr>
              <w:t>(bone mass)</w:t>
            </w:r>
            <w:r w:rsidRPr="005F6C81">
              <w:rPr>
                <w:rFonts w:ascii="Times New Roman" w:eastAsia="標楷體" w:hAnsi="Times New Roman"/>
                <w:b/>
                <w:color w:val="000000" w:themeColor="text1"/>
                <w:szCs w:val="24"/>
              </w:rPr>
              <w:t>。</w:t>
            </w:r>
            <w:r w:rsidRPr="00071115">
              <w:rPr>
                <w:rFonts w:ascii="Times New Roman" w:eastAsia="標楷體" w:hAnsi="Times New Roman"/>
                <w:color w:val="000000" w:themeColor="text1"/>
                <w:szCs w:val="24"/>
              </w:rPr>
              <w:t>說明：</w:t>
            </w:r>
            <w:r w:rsidRPr="00071115">
              <w:rPr>
                <w:rFonts w:ascii="Times New Roman" w:eastAsia="標楷體" w:hAnsi="Times New Roman"/>
                <w:color w:val="000000" w:themeColor="text1"/>
                <w:szCs w:val="24"/>
              </w:rPr>
              <w:t xml:space="preserve">Prolia </w:t>
            </w:r>
            <w:r w:rsidRPr="00071115">
              <w:rPr>
                <w:rFonts w:ascii="Times New Roman" w:eastAsia="標楷體" w:hAnsi="Times New Roman"/>
                <w:color w:val="000000" w:themeColor="text1"/>
                <w:szCs w:val="24"/>
              </w:rPr>
              <w:t>適用於治療有高度骨折風險</w:t>
            </w:r>
            <w:r w:rsidRPr="00071115">
              <w:rPr>
                <w:rFonts w:ascii="Times New Roman" w:eastAsia="標楷體" w:hAnsi="Times New Roman"/>
                <w:color w:val="000000" w:themeColor="text1"/>
                <w:szCs w:val="24"/>
              </w:rPr>
              <w:t>(</w:t>
            </w:r>
            <w:r w:rsidRPr="00071115">
              <w:rPr>
                <w:rFonts w:ascii="Times New Roman" w:eastAsia="標楷體" w:hAnsi="Times New Roman"/>
                <w:color w:val="000000" w:themeColor="text1"/>
                <w:szCs w:val="24"/>
              </w:rPr>
              <w:t>定義為有骨質疏鬆症骨折病史，或具有多項骨折危險因子</w:t>
            </w:r>
            <w:r w:rsidRPr="00071115">
              <w:rPr>
                <w:rFonts w:ascii="Times New Roman" w:eastAsia="標楷體" w:hAnsi="Times New Roman"/>
                <w:color w:val="000000" w:themeColor="text1"/>
                <w:szCs w:val="24"/>
              </w:rPr>
              <w:t>)</w:t>
            </w:r>
            <w:r w:rsidRPr="00071115">
              <w:rPr>
                <w:rFonts w:ascii="Times New Roman" w:eastAsia="標楷體" w:hAnsi="Times New Roman"/>
                <w:color w:val="000000" w:themeColor="text1"/>
                <w:szCs w:val="24"/>
              </w:rPr>
              <w:t>之骨質疏鬆症男性</w:t>
            </w:r>
            <w:r w:rsidR="005F6C81">
              <w:rPr>
                <w:rFonts w:ascii="Times New Roman" w:eastAsia="標楷體" w:hAnsi="Times New Roman" w:hint="eastAsia"/>
                <w:color w:val="000000" w:themeColor="text1"/>
                <w:szCs w:val="24"/>
              </w:rPr>
              <w:t>病人</w:t>
            </w:r>
            <w:r w:rsidRPr="00071115">
              <w:rPr>
                <w:rFonts w:ascii="Times New Roman" w:eastAsia="標楷體" w:hAnsi="Times New Roman"/>
                <w:color w:val="000000" w:themeColor="text1"/>
                <w:szCs w:val="24"/>
              </w:rPr>
              <w:t>，或先前曾接受其他骨質疏鬆症療法失敗或無法耐受其他骨質疏鬆症療法的</w:t>
            </w:r>
            <w:r w:rsidR="005F6C81">
              <w:rPr>
                <w:rFonts w:ascii="Times New Roman" w:eastAsia="標楷體" w:hAnsi="Times New Roman" w:hint="eastAsia"/>
                <w:color w:val="000000" w:themeColor="text1"/>
                <w:szCs w:val="24"/>
              </w:rPr>
              <w:t>病人</w:t>
            </w:r>
            <w:r w:rsidRPr="00071115">
              <w:rPr>
                <w:rFonts w:ascii="Times New Roman" w:eastAsia="標楷體" w:hAnsi="Times New Roman"/>
                <w:color w:val="000000" w:themeColor="text1"/>
                <w:szCs w:val="24"/>
              </w:rPr>
              <w:t>，以增加骨量</w:t>
            </w:r>
            <w:r w:rsidRPr="00071115">
              <w:rPr>
                <w:rFonts w:ascii="Times New Roman" w:eastAsia="標楷體" w:hAnsi="Times New Roman"/>
                <w:color w:val="000000" w:themeColor="text1"/>
                <w:szCs w:val="24"/>
              </w:rPr>
              <w:t>(bone mass)</w:t>
            </w:r>
            <w:r w:rsidRPr="00071115">
              <w:rPr>
                <w:rFonts w:ascii="Times New Roman" w:eastAsia="標楷體" w:hAnsi="Times New Roman"/>
                <w:color w:val="000000" w:themeColor="text1"/>
                <w:szCs w:val="24"/>
              </w:rPr>
              <w:t>。</w:t>
            </w:r>
          </w:p>
          <w:p w14:paraId="23C43C20" w14:textId="77777777" w:rsidR="00071115" w:rsidRPr="005F6C81" w:rsidRDefault="00071115" w:rsidP="00071115">
            <w:pPr>
              <w:pStyle w:val="aa"/>
              <w:numPr>
                <w:ilvl w:val="0"/>
                <w:numId w:val="12"/>
              </w:numPr>
              <w:tabs>
                <w:tab w:val="left" w:pos="1010"/>
              </w:tabs>
              <w:ind w:leftChars="0"/>
              <w:jc w:val="both"/>
              <w:rPr>
                <w:rFonts w:ascii="Times New Roman" w:eastAsia="標楷體" w:hAnsi="Times New Roman" w:cs="Times New Roman"/>
                <w:color w:val="000000"/>
                <w:szCs w:val="24"/>
              </w:rPr>
            </w:pPr>
            <w:r w:rsidRPr="005F6C81">
              <w:rPr>
                <w:rFonts w:ascii="Times New Roman" w:eastAsia="標楷體" w:hAnsi="Times New Roman"/>
                <w:b/>
                <w:color w:val="000000" w:themeColor="text1"/>
                <w:szCs w:val="24"/>
              </w:rPr>
              <w:t>治療糖皮質類固醇引起的骨質疏鬆症。</w:t>
            </w:r>
            <w:r w:rsidRPr="00071115">
              <w:rPr>
                <w:rFonts w:ascii="Times New Roman" w:eastAsia="標楷體" w:hAnsi="Times New Roman"/>
                <w:color w:val="000000" w:themeColor="text1"/>
                <w:szCs w:val="24"/>
              </w:rPr>
              <w:t>說明：</w:t>
            </w:r>
            <w:r w:rsidRPr="00071115">
              <w:rPr>
                <w:rFonts w:ascii="Times New Roman" w:eastAsia="標楷體" w:hAnsi="Times New Roman"/>
                <w:color w:val="000000" w:themeColor="text1"/>
                <w:szCs w:val="24"/>
              </w:rPr>
              <w:t>Prolia</w:t>
            </w:r>
            <w:r w:rsidRPr="00071115">
              <w:rPr>
                <w:rFonts w:ascii="Times New Roman" w:eastAsia="標楷體" w:hAnsi="Times New Roman"/>
                <w:color w:val="000000" w:themeColor="text1"/>
                <w:szCs w:val="24"/>
              </w:rPr>
              <w:t>適用於治療有高度骨折風險的糖皮質類固醇引起之骨質疏鬆症男性與女性病人，這群病人指正開始或持續每日劑量</w:t>
            </w:r>
            <w:proofErr w:type="gramStart"/>
            <w:r w:rsidRPr="00071115">
              <w:rPr>
                <w:rFonts w:ascii="Times New Roman" w:eastAsia="標楷體" w:hAnsi="Times New Roman"/>
                <w:color w:val="000000" w:themeColor="text1"/>
                <w:szCs w:val="24"/>
              </w:rPr>
              <w:t>等效於</w:t>
            </w:r>
            <w:proofErr w:type="gramEnd"/>
            <w:r w:rsidRPr="00071115">
              <w:rPr>
                <w:rFonts w:ascii="Times New Roman" w:eastAsia="標楷體" w:hAnsi="Times New Roman"/>
                <w:color w:val="000000" w:themeColor="text1"/>
                <w:szCs w:val="24"/>
              </w:rPr>
              <w:t>7.5</w:t>
            </w:r>
            <w:r w:rsidRPr="00071115">
              <w:rPr>
                <w:rFonts w:ascii="Times New Roman" w:eastAsia="標楷體" w:hAnsi="Times New Roman"/>
                <w:color w:val="000000" w:themeColor="text1"/>
                <w:szCs w:val="24"/>
              </w:rPr>
              <w:t>毫克</w:t>
            </w:r>
            <w:r w:rsidRPr="00071115">
              <w:rPr>
                <w:rFonts w:ascii="Times New Roman" w:eastAsia="標楷體" w:hAnsi="Times New Roman"/>
                <w:color w:val="000000" w:themeColor="text1"/>
                <w:szCs w:val="24"/>
              </w:rPr>
              <w:t>prednisone</w:t>
            </w:r>
            <w:r w:rsidRPr="00071115">
              <w:rPr>
                <w:rFonts w:ascii="Times New Roman" w:eastAsia="標楷體" w:hAnsi="Times New Roman"/>
                <w:color w:val="000000" w:themeColor="text1"/>
                <w:szCs w:val="24"/>
              </w:rPr>
              <w:t>或以上的</w:t>
            </w:r>
            <w:proofErr w:type="gramStart"/>
            <w:r w:rsidRPr="00071115">
              <w:rPr>
                <w:rFonts w:ascii="Times New Roman" w:eastAsia="標楷體" w:hAnsi="Times New Roman"/>
                <w:color w:val="000000" w:themeColor="text1"/>
                <w:szCs w:val="24"/>
              </w:rPr>
              <w:t>全身性糖皮質</w:t>
            </w:r>
            <w:proofErr w:type="gramEnd"/>
            <w:r w:rsidRPr="00071115">
              <w:rPr>
                <w:rFonts w:ascii="Times New Roman" w:eastAsia="標楷體" w:hAnsi="Times New Roman"/>
                <w:color w:val="000000" w:themeColor="text1"/>
                <w:szCs w:val="24"/>
              </w:rPr>
              <w:t>類固醇，並預計維持使用糖皮質類固醇至少</w:t>
            </w:r>
            <w:r w:rsidRPr="00071115">
              <w:rPr>
                <w:rFonts w:ascii="Times New Roman" w:eastAsia="標楷體" w:hAnsi="Times New Roman"/>
                <w:color w:val="000000" w:themeColor="text1"/>
                <w:szCs w:val="24"/>
              </w:rPr>
              <w:t>6</w:t>
            </w:r>
            <w:r w:rsidRPr="00071115">
              <w:rPr>
                <w:rFonts w:ascii="Times New Roman" w:eastAsia="標楷體" w:hAnsi="Times New Roman"/>
                <w:color w:val="000000" w:themeColor="text1"/>
                <w:szCs w:val="24"/>
              </w:rPr>
              <w:t>個月。高度骨折風險的定義為發生過骨質疏鬆性骨折、具有多重骨折風險因子、或曾接受其他骨質疏鬆症治療失敗或耐受不良的病人。</w:t>
            </w:r>
          </w:p>
          <w:p w14:paraId="2FC69BDD" w14:textId="60A1C970" w:rsidR="005F6C81" w:rsidRPr="005F6C81" w:rsidRDefault="005F6C81" w:rsidP="005F6C81">
            <w:pPr>
              <w:pStyle w:val="aa"/>
              <w:numPr>
                <w:ilvl w:val="0"/>
                <w:numId w:val="12"/>
              </w:numPr>
              <w:ind w:leftChars="0"/>
              <w:rPr>
                <w:rFonts w:ascii="Times New Roman" w:eastAsia="標楷體" w:hAnsi="Times New Roman" w:cs="Times New Roman"/>
                <w:b/>
                <w:color w:val="000000"/>
                <w:szCs w:val="24"/>
              </w:rPr>
            </w:pPr>
            <w:r w:rsidRPr="005F6C81">
              <w:rPr>
                <w:rFonts w:ascii="Times New Roman" w:eastAsia="標楷體" w:hAnsi="Times New Roman" w:cs="Times New Roman" w:hint="eastAsia"/>
                <w:b/>
                <w:color w:val="000000"/>
                <w:szCs w:val="24"/>
              </w:rPr>
              <w:t>治療因為非轉移性攝護腺癌而進行雄性荷爾蒙抑制治療且具高度骨折風險之男性</w:t>
            </w:r>
            <w:r>
              <w:rPr>
                <w:rFonts w:ascii="Times New Roman" w:eastAsia="標楷體" w:hAnsi="Times New Roman" w:cs="Times New Roman" w:hint="eastAsia"/>
                <w:b/>
                <w:color w:val="000000"/>
                <w:szCs w:val="24"/>
              </w:rPr>
              <w:t>病人</w:t>
            </w:r>
            <w:r w:rsidRPr="005F6C81">
              <w:rPr>
                <w:rFonts w:ascii="Times New Roman" w:eastAsia="標楷體" w:hAnsi="Times New Roman" w:cs="Times New Roman" w:hint="eastAsia"/>
                <w:b/>
                <w:color w:val="000000"/>
                <w:szCs w:val="24"/>
              </w:rPr>
              <w:t>的骨質流失現象。</w:t>
            </w:r>
            <w:r w:rsidRPr="005F6C81">
              <w:rPr>
                <w:rFonts w:ascii="Times New Roman" w:eastAsia="標楷體" w:hAnsi="Times New Roman" w:cs="Times New Roman" w:hint="eastAsia"/>
                <w:color w:val="000000"/>
                <w:szCs w:val="24"/>
              </w:rPr>
              <w:t>說明：</w:t>
            </w:r>
            <w:r w:rsidRPr="005F6C81">
              <w:rPr>
                <w:rFonts w:ascii="Times New Roman" w:eastAsia="標楷體" w:hAnsi="Times New Roman" w:cs="Times New Roman" w:hint="eastAsia"/>
                <w:color w:val="000000"/>
                <w:szCs w:val="24"/>
              </w:rPr>
              <w:t xml:space="preserve">Prolia </w:t>
            </w:r>
            <w:r w:rsidRPr="005F6C81">
              <w:rPr>
                <w:rFonts w:ascii="Times New Roman" w:eastAsia="標楷體" w:hAnsi="Times New Roman" w:cs="Times New Roman" w:hint="eastAsia"/>
                <w:color w:val="000000"/>
                <w:szCs w:val="24"/>
              </w:rPr>
              <w:t>亦可降低此類病人脊椎骨折的發生率。</w:t>
            </w:r>
          </w:p>
        </w:tc>
      </w:tr>
      <w:tr w:rsidR="00707B8C" w:rsidRPr="00147E19" w14:paraId="4FF99351" w14:textId="77777777" w:rsidTr="00E445FF">
        <w:trPr>
          <w:jc w:val="center"/>
        </w:trPr>
        <w:tc>
          <w:tcPr>
            <w:tcW w:w="1988" w:type="dxa"/>
            <w:vAlign w:val="center"/>
          </w:tcPr>
          <w:p w14:paraId="14699A04" w14:textId="77777777"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藥理作用機轉</w:t>
            </w:r>
          </w:p>
        </w:tc>
        <w:tc>
          <w:tcPr>
            <w:tcW w:w="7741" w:type="dxa"/>
          </w:tcPr>
          <w:p w14:paraId="32465A0E" w14:textId="4BBFE57D" w:rsidR="001E7F28" w:rsidRPr="005F6C81" w:rsidRDefault="004F5977" w:rsidP="005F6C81">
            <w:pPr>
              <w:autoSpaceDE w:val="0"/>
              <w:autoSpaceDN w:val="0"/>
              <w:adjustRightInd w:val="0"/>
              <w:jc w:val="both"/>
              <w:rPr>
                <w:rFonts w:ascii="Times New Roman" w:eastAsia="標楷體" w:hAnsi="標楷體"/>
                <w:color w:val="000000" w:themeColor="text1"/>
                <w:kern w:val="36"/>
                <w:szCs w:val="24"/>
                <w:lang w:bidi="hi-IN"/>
              </w:rPr>
            </w:pPr>
            <w:r>
              <w:rPr>
                <w:rFonts w:ascii="Times New Roman" w:eastAsia="標楷體" w:hAnsi="Times New Roman" w:cs="Times New Roman"/>
                <w:color w:val="000000" w:themeColor="text1"/>
                <w:szCs w:val="24"/>
              </w:rPr>
              <w:t>D</w:t>
            </w:r>
            <w:r w:rsidRPr="00300756">
              <w:rPr>
                <w:rFonts w:ascii="Times New Roman" w:eastAsia="標楷體" w:hAnsi="Times New Roman" w:cs="Times New Roman"/>
                <w:color w:val="000000" w:themeColor="text1"/>
                <w:szCs w:val="24"/>
              </w:rPr>
              <w:t>enosumab</w:t>
            </w:r>
            <w:r w:rsidR="005F6C81" w:rsidRPr="005F6C81">
              <w:rPr>
                <w:rFonts w:ascii="Times New Roman" w:eastAsia="標楷體" w:hAnsi="標楷體" w:hint="eastAsia"/>
                <w:color w:val="000000" w:themeColor="text1"/>
                <w:kern w:val="36"/>
                <w:szCs w:val="24"/>
                <w:lang w:bidi="hi-IN"/>
              </w:rPr>
              <w:t>會與</w:t>
            </w:r>
            <w:r w:rsidR="005F6C81" w:rsidRPr="005F6C81">
              <w:rPr>
                <w:rFonts w:ascii="Times New Roman" w:eastAsia="標楷體" w:hAnsi="標楷體" w:hint="eastAsia"/>
                <w:color w:val="000000" w:themeColor="text1"/>
                <w:kern w:val="36"/>
                <w:szCs w:val="24"/>
                <w:lang w:bidi="hi-IN"/>
              </w:rPr>
              <w:t xml:space="preserve"> RANKL </w:t>
            </w:r>
            <w:r w:rsidR="005F6C81" w:rsidRPr="005F6C81">
              <w:rPr>
                <w:rFonts w:ascii="Times New Roman" w:eastAsia="標楷體" w:hAnsi="標楷體" w:hint="eastAsia"/>
                <w:color w:val="000000" w:themeColor="text1"/>
                <w:kern w:val="36"/>
                <w:szCs w:val="24"/>
                <w:lang w:bidi="hi-IN"/>
              </w:rPr>
              <w:t>結合，</w:t>
            </w:r>
            <w:r w:rsidR="005F6C81" w:rsidRPr="005F6C81">
              <w:rPr>
                <w:rFonts w:ascii="Times New Roman" w:eastAsia="標楷體" w:hAnsi="標楷體" w:hint="eastAsia"/>
                <w:color w:val="000000" w:themeColor="text1"/>
                <w:kern w:val="36"/>
                <w:szCs w:val="24"/>
                <w:lang w:bidi="hi-IN"/>
              </w:rPr>
              <w:t xml:space="preserve">RANKL </w:t>
            </w:r>
            <w:r w:rsidR="005F6C81" w:rsidRPr="005F6C81">
              <w:rPr>
                <w:rFonts w:ascii="Times New Roman" w:eastAsia="標楷體" w:hAnsi="標楷體" w:hint="eastAsia"/>
                <w:color w:val="000000" w:themeColor="text1"/>
                <w:kern w:val="36"/>
                <w:szCs w:val="24"/>
                <w:lang w:bidi="hi-IN"/>
              </w:rPr>
              <w:t>是</w:t>
            </w:r>
            <w:proofErr w:type="gramStart"/>
            <w:r w:rsidR="005F6C81" w:rsidRPr="005F6C81">
              <w:rPr>
                <w:rFonts w:ascii="Times New Roman" w:eastAsia="標楷體" w:hAnsi="標楷體" w:hint="eastAsia"/>
                <w:color w:val="000000" w:themeColor="text1"/>
                <w:kern w:val="36"/>
                <w:szCs w:val="24"/>
                <w:lang w:bidi="hi-IN"/>
              </w:rPr>
              <w:t>一種對蝕骨</w:t>
            </w:r>
            <w:proofErr w:type="gramEnd"/>
            <w:r w:rsidR="005F6C81" w:rsidRPr="005F6C81">
              <w:rPr>
                <w:rFonts w:ascii="Times New Roman" w:eastAsia="標楷體" w:hAnsi="標楷體" w:hint="eastAsia"/>
                <w:color w:val="000000" w:themeColor="text1"/>
                <w:kern w:val="36"/>
                <w:szCs w:val="24"/>
                <w:lang w:bidi="hi-IN"/>
              </w:rPr>
              <w:t>細胞</w:t>
            </w:r>
            <w:r w:rsidR="005F6C81">
              <w:rPr>
                <w:rFonts w:ascii="Times New Roman" w:eastAsia="標楷體" w:hAnsi="標楷體" w:hint="eastAsia"/>
                <w:color w:val="000000" w:themeColor="text1"/>
                <w:kern w:val="36"/>
                <w:szCs w:val="24"/>
                <w:lang w:bidi="hi-IN"/>
              </w:rPr>
              <w:t>（</w:t>
            </w:r>
            <w:r w:rsidR="005F6C81" w:rsidRPr="005F6C81">
              <w:rPr>
                <w:rFonts w:ascii="Times New Roman" w:eastAsia="標楷體" w:hAnsi="標楷體" w:hint="eastAsia"/>
                <w:color w:val="000000" w:themeColor="text1"/>
                <w:kern w:val="36"/>
                <w:szCs w:val="24"/>
                <w:lang w:bidi="hi-IN"/>
              </w:rPr>
              <w:t>會產生骨蝕作用的細胞</w:t>
            </w:r>
            <w:r w:rsidR="005F6C81">
              <w:rPr>
                <w:rFonts w:ascii="Times New Roman" w:eastAsia="標楷體" w:hAnsi="標楷體" w:hint="eastAsia"/>
                <w:color w:val="000000" w:themeColor="text1"/>
                <w:kern w:val="36"/>
                <w:szCs w:val="24"/>
                <w:lang w:bidi="hi-IN"/>
              </w:rPr>
              <w:t>）</w:t>
            </w:r>
            <w:r w:rsidR="005F6C81" w:rsidRPr="005F6C81">
              <w:rPr>
                <w:rFonts w:ascii="Times New Roman" w:eastAsia="標楷體" w:hAnsi="標楷體" w:hint="eastAsia"/>
                <w:color w:val="000000" w:themeColor="text1"/>
                <w:kern w:val="36"/>
                <w:szCs w:val="24"/>
                <w:lang w:bidi="hi-IN"/>
              </w:rPr>
              <w:t>之形成、功能與存活極為重要</w:t>
            </w:r>
            <w:proofErr w:type="gramStart"/>
            <w:r w:rsidR="005F6C81" w:rsidRPr="005F6C81">
              <w:rPr>
                <w:rFonts w:ascii="Times New Roman" w:eastAsia="標楷體" w:hAnsi="標楷體" w:hint="eastAsia"/>
                <w:color w:val="000000" w:themeColor="text1"/>
                <w:kern w:val="36"/>
                <w:szCs w:val="24"/>
                <w:lang w:bidi="hi-IN"/>
              </w:rPr>
              <w:t>的穿膜蛋</w:t>
            </w:r>
            <w:proofErr w:type="gramEnd"/>
            <w:r w:rsidR="005F6C81" w:rsidRPr="005F6C81">
              <w:rPr>
                <w:rFonts w:ascii="Times New Roman" w:eastAsia="標楷體" w:hAnsi="標楷體" w:hint="eastAsia"/>
                <w:color w:val="000000" w:themeColor="text1"/>
                <w:kern w:val="36"/>
                <w:szCs w:val="24"/>
                <w:lang w:bidi="hi-IN"/>
              </w:rPr>
              <w:t>白或可溶性蛋白。</w:t>
            </w:r>
            <w:r>
              <w:rPr>
                <w:rFonts w:ascii="Times New Roman" w:eastAsia="標楷體" w:hAnsi="Times New Roman" w:cs="Times New Roman"/>
                <w:color w:val="000000" w:themeColor="text1"/>
                <w:szCs w:val="24"/>
              </w:rPr>
              <w:t>D</w:t>
            </w:r>
            <w:r w:rsidRPr="00300756">
              <w:rPr>
                <w:rFonts w:ascii="Times New Roman" w:eastAsia="標楷體" w:hAnsi="Times New Roman" w:cs="Times New Roman"/>
                <w:color w:val="000000" w:themeColor="text1"/>
                <w:szCs w:val="24"/>
              </w:rPr>
              <w:t>enosumab</w:t>
            </w:r>
            <w:r w:rsidR="005F6C81" w:rsidRPr="005F6C81">
              <w:rPr>
                <w:rFonts w:ascii="Times New Roman" w:eastAsia="標楷體" w:hAnsi="標楷體" w:hint="eastAsia"/>
                <w:color w:val="000000" w:themeColor="text1"/>
                <w:kern w:val="36"/>
                <w:szCs w:val="24"/>
                <w:lang w:bidi="hi-IN"/>
              </w:rPr>
              <w:t>可阻止</w:t>
            </w:r>
            <w:r w:rsidR="005F6C81" w:rsidRPr="005F6C81">
              <w:rPr>
                <w:rFonts w:ascii="Times New Roman" w:eastAsia="標楷體" w:hAnsi="標楷體" w:hint="eastAsia"/>
                <w:color w:val="000000" w:themeColor="text1"/>
                <w:kern w:val="36"/>
                <w:szCs w:val="24"/>
                <w:lang w:bidi="hi-IN"/>
              </w:rPr>
              <w:t xml:space="preserve"> RANKL </w:t>
            </w:r>
            <w:r w:rsidR="005F6C81" w:rsidRPr="005F6C81">
              <w:rPr>
                <w:rFonts w:ascii="Times New Roman" w:eastAsia="標楷體" w:hAnsi="標楷體" w:hint="eastAsia"/>
                <w:color w:val="000000" w:themeColor="text1"/>
                <w:kern w:val="36"/>
                <w:szCs w:val="24"/>
                <w:lang w:bidi="hi-IN"/>
              </w:rPr>
              <w:t>活化其接受體，亦即蝕骨細胞及其前驅物表面上的</w:t>
            </w:r>
            <w:r w:rsidR="005F6C81" w:rsidRPr="005F6C81">
              <w:rPr>
                <w:rFonts w:ascii="Times New Roman" w:eastAsia="標楷體" w:hAnsi="標楷體" w:hint="eastAsia"/>
                <w:color w:val="000000" w:themeColor="text1"/>
                <w:kern w:val="36"/>
                <w:szCs w:val="24"/>
                <w:lang w:bidi="hi-IN"/>
              </w:rPr>
              <w:t xml:space="preserve"> RANK</w:t>
            </w:r>
            <w:r w:rsidR="005F6C81" w:rsidRPr="005F6C81">
              <w:rPr>
                <w:rFonts w:ascii="Times New Roman" w:eastAsia="標楷體" w:hAnsi="標楷體" w:hint="eastAsia"/>
                <w:color w:val="000000" w:themeColor="text1"/>
                <w:kern w:val="36"/>
                <w:szCs w:val="24"/>
                <w:lang w:bidi="hi-IN"/>
              </w:rPr>
              <w:t>。遏阻</w:t>
            </w:r>
            <w:r w:rsidR="005F6C81" w:rsidRPr="005F6C81">
              <w:rPr>
                <w:rFonts w:ascii="Times New Roman" w:eastAsia="標楷體" w:hAnsi="標楷體" w:hint="eastAsia"/>
                <w:color w:val="000000" w:themeColor="text1"/>
                <w:kern w:val="36"/>
                <w:szCs w:val="24"/>
                <w:lang w:bidi="hi-IN"/>
              </w:rPr>
              <w:t xml:space="preserve"> RANKL/RANK </w:t>
            </w:r>
            <w:proofErr w:type="gramStart"/>
            <w:r w:rsidR="005F6C81" w:rsidRPr="005F6C81">
              <w:rPr>
                <w:rFonts w:ascii="Times New Roman" w:eastAsia="標楷體" w:hAnsi="標楷體" w:hint="eastAsia"/>
                <w:color w:val="000000" w:themeColor="text1"/>
                <w:kern w:val="36"/>
                <w:szCs w:val="24"/>
                <w:lang w:bidi="hi-IN"/>
              </w:rPr>
              <w:t>間的交互作用</w:t>
            </w:r>
            <w:proofErr w:type="gramEnd"/>
            <w:r w:rsidR="005F6C81" w:rsidRPr="005F6C81">
              <w:rPr>
                <w:rFonts w:ascii="Times New Roman" w:eastAsia="標楷體" w:hAnsi="標楷體" w:hint="eastAsia"/>
                <w:color w:val="000000" w:themeColor="text1"/>
                <w:kern w:val="36"/>
                <w:szCs w:val="24"/>
                <w:lang w:bidi="hi-IN"/>
              </w:rPr>
              <w:t>可抑制蝕骨細胞的形成、功能與存活，因此可</w:t>
            </w:r>
            <w:proofErr w:type="gramStart"/>
            <w:r w:rsidR="005F6C81" w:rsidRPr="005F6C81">
              <w:rPr>
                <w:rFonts w:ascii="Times New Roman" w:eastAsia="標楷體" w:hAnsi="標楷體" w:hint="eastAsia"/>
                <w:color w:val="000000" w:themeColor="text1"/>
                <w:kern w:val="36"/>
                <w:szCs w:val="24"/>
                <w:lang w:bidi="hi-IN"/>
              </w:rPr>
              <w:t>降低骨蝕作</w:t>
            </w:r>
            <w:proofErr w:type="gramEnd"/>
            <w:r w:rsidR="005F6C81" w:rsidRPr="005F6C81">
              <w:rPr>
                <w:rFonts w:ascii="Times New Roman" w:eastAsia="標楷體" w:hAnsi="標楷體" w:hint="eastAsia"/>
                <w:color w:val="000000" w:themeColor="text1"/>
                <w:kern w:val="36"/>
                <w:szCs w:val="24"/>
                <w:lang w:bidi="hi-IN"/>
              </w:rPr>
              <w:t>用</w:t>
            </w:r>
            <w:r w:rsidR="005F6C81" w:rsidRPr="005F6C81">
              <w:rPr>
                <w:rFonts w:ascii="Times New Roman" w:eastAsia="標楷體" w:hAnsi="標楷體" w:hint="eastAsia"/>
                <w:color w:val="000000" w:themeColor="text1"/>
                <w:kern w:val="36"/>
                <w:szCs w:val="24"/>
                <w:lang w:bidi="hi-IN"/>
              </w:rPr>
              <w:t xml:space="preserve"> (bone resorption)</w:t>
            </w:r>
            <w:r w:rsidR="005F6C81" w:rsidRPr="005F6C81">
              <w:rPr>
                <w:rFonts w:ascii="Times New Roman" w:eastAsia="標楷體" w:hAnsi="標楷體" w:hint="eastAsia"/>
                <w:color w:val="000000" w:themeColor="text1"/>
                <w:kern w:val="36"/>
                <w:szCs w:val="24"/>
                <w:lang w:bidi="hi-IN"/>
              </w:rPr>
              <w:t>，並提高皮質骨及小樑骨的骨量與強度。</w:t>
            </w:r>
          </w:p>
        </w:tc>
      </w:tr>
      <w:tr w:rsidR="00707B8C" w:rsidRPr="00147E19" w14:paraId="12F99B7A" w14:textId="77777777" w:rsidTr="00E445FF">
        <w:trPr>
          <w:trHeight w:val="416"/>
          <w:jc w:val="center"/>
        </w:trPr>
        <w:tc>
          <w:tcPr>
            <w:tcW w:w="1988" w:type="dxa"/>
            <w:vAlign w:val="center"/>
          </w:tcPr>
          <w:p w14:paraId="34956829" w14:textId="77777777" w:rsidR="00707B8C" w:rsidRPr="00147E19" w:rsidRDefault="00707B8C" w:rsidP="00707B8C">
            <w:pPr>
              <w:jc w:val="center"/>
              <w:rPr>
                <w:rFonts w:ascii="Times New Roman" w:eastAsia="標楷體" w:hAnsi="Times New Roman" w:cs="Times New Roman"/>
                <w:color w:val="000000"/>
                <w:szCs w:val="24"/>
              </w:rPr>
            </w:pPr>
            <w:r w:rsidRPr="00147E19">
              <w:rPr>
                <w:rFonts w:ascii="Times New Roman" w:eastAsia="標楷體" w:hAnsi="Times New Roman" w:cs="Times New Roman"/>
                <w:color w:val="000000"/>
                <w:szCs w:val="24"/>
              </w:rPr>
              <w:t>訊息緣由</w:t>
            </w:r>
          </w:p>
        </w:tc>
        <w:tc>
          <w:tcPr>
            <w:tcW w:w="7741" w:type="dxa"/>
          </w:tcPr>
          <w:p w14:paraId="62C9CFA6" w14:textId="769248B7" w:rsidR="00095F30" w:rsidRDefault="00653C65" w:rsidP="00147E19">
            <w:pPr>
              <w:widowControl/>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color w:val="222222"/>
                <w:kern w:val="0"/>
                <w:szCs w:val="24"/>
              </w:rPr>
              <w:t>20</w:t>
            </w:r>
            <w:r>
              <w:rPr>
                <w:rFonts w:ascii="Times New Roman" w:eastAsia="標楷體" w:hAnsi="Times New Roman" w:cs="Times New Roman" w:hint="eastAsia"/>
                <w:color w:val="222222"/>
                <w:kern w:val="0"/>
                <w:szCs w:val="24"/>
              </w:rPr>
              <w:t>2</w:t>
            </w:r>
            <w:r w:rsidR="00AC7A88">
              <w:rPr>
                <w:rFonts w:ascii="Times New Roman" w:eastAsia="標楷體" w:hAnsi="Times New Roman" w:cs="Times New Roman" w:hint="eastAsia"/>
                <w:color w:val="222222"/>
                <w:kern w:val="0"/>
                <w:szCs w:val="24"/>
              </w:rPr>
              <w:t>2</w:t>
            </w:r>
            <w:r>
              <w:rPr>
                <w:rFonts w:ascii="Times New Roman" w:eastAsia="標楷體" w:hAnsi="Times New Roman" w:cs="Times New Roman"/>
                <w:color w:val="222222"/>
                <w:kern w:val="0"/>
                <w:szCs w:val="24"/>
              </w:rPr>
              <w:t>/</w:t>
            </w:r>
            <w:r w:rsidR="00A62C01">
              <w:rPr>
                <w:rFonts w:ascii="Times New Roman" w:eastAsia="標楷體" w:hAnsi="Times New Roman" w:cs="Times New Roman" w:hint="eastAsia"/>
                <w:color w:val="222222"/>
                <w:kern w:val="0"/>
                <w:szCs w:val="24"/>
              </w:rPr>
              <w:t>5</w:t>
            </w:r>
            <w:r w:rsidR="00211AF1">
              <w:rPr>
                <w:rFonts w:ascii="Times New Roman" w:eastAsia="標楷體" w:hAnsi="Times New Roman" w:cs="Times New Roman"/>
                <w:color w:val="222222"/>
                <w:kern w:val="0"/>
                <w:szCs w:val="24"/>
              </w:rPr>
              <w:t>/</w:t>
            </w:r>
            <w:r w:rsidR="00211AF1" w:rsidRPr="00AC7A88">
              <w:rPr>
                <w:rFonts w:ascii="Times New Roman" w:eastAsia="標楷體" w:hAnsi="Times New Roman" w:cs="Times New Roman" w:hint="eastAsia"/>
                <w:kern w:val="0"/>
                <w:szCs w:val="24"/>
              </w:rPr>
              <w:t>1</w:t>
            </w:r>
            <w:r w:rsidR="00A62C01">
              <w:rPr>
                <w:rFonts w:ascii="Times New Roman" w:eastAsia="標楷體" w:hAnsi="Times New Roman" w:cs="Times New Roman" w:hint="eastAsia"/>
                <w:kern w:val="0"/>
                <w:szCs w:val="24"/>
              </w:rPr>
              <w:t>7</w:t>
            </w:r>
            <w:r w:rsidR="00A62C01">
              <w:rPr>
                <w:rFonts w:ascii="Times New Roman" w:eastAsia="標楷體" w:hAnsi="Times New Roman" w:cs="Times New Roman" w:hint="eastAsia"/>
                <w:kern w:val="0"/>
                <w:szCs w:val="24"/>
              </w:rPr>
              <w:t>英國醫藥品</w:t>
            </w:r>
            <w:r w:rsidR="00C05FEF">
              <w:rPr>
                <w:rFonts w:ascii="Times New Roman" w:eastAsia="標楷體" w:hAnsi="Times New Roman" w:cs="Times New Roman" w:hint="eastAsia"/>
                <w:kern w:val="0"/>
                <w:szCs w:val="24"/>
              </w:rPr>
              <w:t>管理局</w:t>
            </w:r>
            <w:r w:rsidR="005F6C81">
              <w:rPr>
                <w:rFonts w:ascii="Times New Roman" w:eastAsia="標楷體" w:hAnsi="Times New Roman" w:cs="Times New Roman" w:hint="eastAsia"/>
                <w:kern w:val="0"/>
                <w:szCs w:val="24"/>
              </w:rPr>
              <w:t xml:space="preserve"> </w:t>
            </w:r>
            <w:r w:rsidR="006D6FDA">
              <w:rPr>
                <w:rFonts w:ascii="Times New Roman" w:eastAsia="標楷體" w:hAnsi="Times New Roman" w:hint="eastAsia"/>
                <w:color w:val="000000" w:themeColor="text1"/>
                <w:kern w:val="36"/>
                <w:szCs w:val="24"/>
                <w:lang w:bidi="hi-IN"/>
              </w:rPr>
              <w:t>(</w:t>
            </w:r>
            <w:r w:rsidRPr="00AC7A88">
              <w:rPr>
                <w:rFonts w:ascii="Times New Roman" w:eastAsia="標楷體" w:hAnsi="Times New Roman" w:cs="Times New Roman" w:hint="eastAsia"/>
                <w:kern w:val="0"/>
                <w:szCs w:val="24"/>
              </w:rPr>
              <w:t>M</w:t>
            </w:r>
            <w:r w:rsidR="00A62C01">
              <w:rPr>
                <w:rFonts w:ascii="Times New Roman" w:eastAsia="標楷體" w:hAnsi="Times New Roman" w:cs="Times New Roman" w:hint="eastAsia"/>
                <w:kern w:val="0"/>
                <w:szCs w:val="24"/>
              </w:rPr>
              <w:t>HR</w:t>
            </w:r>
            <w:r w:rsidRPr="00AC7A88">
              <w:rPr>
                <w:rFonts w:ascii="Times New Roman" w:eastAsia="標楷體" w:hAnsi="Times New Roman" w:cs="Times New Roman" w:hint="eastAsia"/>
                <w:kern w:val="0"/>
                <w:szCs w:val="24"/>
              </w:rPr>
              <w:t>A</w:t>
            </w:r>
            <w:r w:rsidR="006D6FDA">
              <w:rPr>
                <w:rFonts w:ascii="Times New Roman" w:eastAsia="標楷體" w:hAnsi="Times New Roman" w:hint="eastAsia"/>
                <w:color w:val="000000" w:themeColor="text1"/>
                <w:kern w:val="36"/>
                <w:szCs w:val="24"/>
                <w:lang w:bidi="hi-IN"/>
              </w:rPr>
              <w:t>)</w:t>
            </w:r>
            <w:r w:rsidR="005F6C81">
              <w:rPr>
                <w:rFonts w:ascii="Times New Roman" w:eastAsia="標楷體" w:hAnsi="Times New Roman" w:hint="eastAsia"/>
                <w:color w:val="000000" w:themeColor="text1"/>
                <w:kern w:val="36"/>
                <w:szCs w:val="24"/>
                <w:lang w:bidi="hi-IN"/>
              </w:rPr>
              <w:t xml:space="preserve"> </w:t>
            </w:r>
            <w:r w:rsidR="00F80CE8" w:rsidRPr="00AC7A88">
              <w:rPr>
                <w:rFonts w:ascii="Times New Roman" w:eastAsia="標楷體" w:hAnsi="Times New Roman" w:cs="Times New Roman" w:hint="eastAsia"/>
                <w:kern w:val="0"/>
                <w:szCs w:val="24"/>
              </w:rPr>
              <w:t>發布</w:t>
            </w:r>
            <w:r w:rsidR="005F6C81" w:rsidRPr="005F6C81">
              <w:rPr>
                <w:rFonts w:ascii="Times New Roman" w:eastAsia="標楷體" w:hAnsi="Times New Roman" w:cs="Times New Roman" w:hint="eastAsia"/>
                <w:kern w:val="0"/>
                <w:szCs w:val="24"/>
              </w:rPr>
              <w:t>使用</w:t>
            </w:r>
            <w:r w:rsidR="004F5977" w:rsidRPr="004F5977">
              <w:rPr>
                <w:rFonts w:ascii="Times New Roman" w:eastAsia="標楷體" w:hAnsi="標楷體" w:cs="Times New Roman"/>
                <w:color w:val="000000" w:themeColor="text1"/>
                <w:szCs w:val="24"/>
              </w:rPr>
              <w:t>Prolia</w:t>
            </w:r>
            <w:r w:rsidR="004F5977" w:rsidRPr="004F5977">
              <w:rPr>
                <w:rFonts w:ascii="Times New Roman" w:eastAsia="標楷體" w:hAnsi="標楷體" w:cs="Times New Roman"/>
                <w:color w:val="000000" w:themeColor="text1"/>
                <w:szCs w:val="24"/>
              </w:rPr>
              <w:t>®</w:t>
            </w:r>
            <w:r w:rsidR="004F5977" w:rsidRPr="004F5977">
              <w:rPr>
                <w:rFonts w:ascii="Times New Roman" w:eastAsia="標楷體" w:hAnsi="標楷體" w:cs="Times New Roman"/>
                <w:color w:val="000000" w:themeColor="text1"/>
                <w:szCs w:val="24"/>
              </w:rPr>
              <w:t>(denosumab 60mg)</w:t>
            </w:r>
            <w:r w:rsidR="004F5977">
              <w:rPr>
                <w:rFonts w:ascii="Times New Roman" w:eastAsia="標楷體" w:hAnsi="Times New Roman" w:cs="Times New Roman"/>
                <w:kern w:val="0"/>
                <w:szCs w:val="24"/>
              </w:rPr>
              <w:t xml:space="preserve"> </w:t>
            </w:r>
            <w:r w:rsidR="005F6C81" w:rsidRPr="005F6C81">
              <w:rPr>
                <w:rFonts w:ascii="Times New Roman" w:eastAsia="標楷體" w:hAnsi="Times New Roman" w:cs="Times New Roman" w:hint="eastAsia"/>
                <w:kern w:val="0"/>
                <w:szCs w:val="24"/>
              </w:rPr>
              <w:t>於兒童及青少年族群時，可能</w:t>
            </w:r>
            <w:bookmarkStart w:id="0" w:name="_GoBack"/>
            <w:bookmarkEnd w:id="0"/>
            <w:r w:rsidR="005F6C81" w:rsidRPr="005F6C81">
              <w:rPr>
                <w:rFonts w:ascii="Times New Roman" w:eastAsia="標楷體" w:hAnsi="Times New Roman" w:cs="Times New Roman" w:hint="eastAsia"/>
                <w:kern w:val="0"/>
                <w:szCs w:val="24"/>
              </w:rPr>
              <w:t>發生嚴重且危急生命之高血鈣風險，故不建議</w:t>
            </w:r>
            <w:r w:rsidR="005F6C81" w:rsidRPr="005F6C81">
              <w:rPr>
                <w:rFonts w:ascii="Times New Roman" w:eastAsia="標楷體" w:hAnsi="Times New Roman" w:cs="Times New Roman" w:hint="eastAsia"/>
                <w:kern w:val="0"/>
                <w:szCs w:val="24"/>
              </w:rPr>
              <w:t>Prolia</w:t>
            </w:r>
            <w:r w:rsidR="005F6C81" w:rsidRPr="005F6C81">
              <w:rPr>
                <w:rFonts w:ascii="Times New Roman" w:eastAsia="標楷體" w:hAnsi="Times New Roman" w:cs="Times New Roman" w:hint="eastAsia"/>
                <w:kern w:val="0"/>
                <w:szCs w:val="24"/>
                <w:vertAlign w:val="superscript"/>
              </w:rPr>
              <w:t>®</w:t>
            </w:r>
            <w:r w:rsidR="005F6C81" w:rsidRPr="005F6C81">
              <w:rPr>
                <w:rFonts w:ascii="Times New Roman" w:eastAsia="標楷體" w:hAnsi="Times New Roman" w:cs="Times New Roman" w:hint="eastAsia"/>
                <w:kern w:val="0"/>
                <w:szCs w:val="24"/>
              </w:rPr>
              <w:t>用於</w:t>
            </w:r>
            <w:r w:rsidR="005F6C81" w:rsidRPr="005F6C81">
              <w:rPr>
                <w:rFonts w:ascii="Times New Roman" w:eastAsia="標楷體" w:hAnsi="Times New Roman" w:cs="Times New Roman" w:hint="eastAsia"/>
                <w:kern w:val="0"/>
                <w:szCs w:val="24"/>
              </w:rPr>
              <w:t>18</w:t>
            </w:r>
            <w:r w:rsidR="005F6C81" w:rsidRPr="005F6C81">
              <w:rPr>
                <w:rFonts w:ascii="Times New Roman" w:eastAsia="標楷體" w:hAnsi="Times New Roman" w:cs="Times New Roman" w:hint="eastAsia"/>
                <w:kern w:val="0"/>
                <w:szCs w:val="24"/>
              </w:rPr>
              <w:t>歲以下病人</w:t>
            </w:r>
            <w:r w:rsidR="005F6C81">
              <w:rPr>
                <w:rFonts w:ascii="Times New Roman" w:eastAsia="標楷體" w:hAnsi="Times New Roman" w:cs="Times New Roman" w:hint="eastAsia"/>
                <w:kern w:val="0"/>
                <w:szCs w:val="24"/>
              </w:rPr>
              <w:t>之</w:t>
            </w:r>
            <w:r w:rsidR="00FE16CA">
              <w:rPr>
                <w:rFonts w:ascii="Times New Roman" w:eastAsia="標楷體" w:hAnsi="Times New Roman" w:cs="Times New Roman" w:hint="eastAsia"/>
                <w:kern w:val="0"/>
                <w:szCs w:val="24"/>
              </w:rPr>
              <w:t>安全資訊</w:t>
            </w:r>
            <w:r w:rsidR="006D30D6" w:rsidRPr="00147E19">
              <w:rPr>
                <w:rFonts w:ascii="Times New Roman" w:eastAsia="標楷體" w:hAnsi="Times New Roman" w:cs="Times New Roman" w:hint="eastAsia"/>
                <w:color w:val="222222"/>
                <w:kern w:val="0"/>
                <w:szCs w:val="24"/>
              </w:rPr>
              <w:t>。</w:t>
            </w:r>
          </w:p>
          <w:p w14:paraId="732FFC93" w14:textId="2F9EAA76" w:rsidR="00707B8C" w:rsidRPr="00147E19" w:rsidRDefault="00707B8C" w:rsidP="00CF1B9A">
            <w:pPr>
              <w:widowControl/>
              <w:shd w:val="clear" w:color="auto" w:fill="FFFFFF"/>
              <w:rPr>
                <w:rFonts w:ascii="Times New Roman" w:eastAsia="標楷體" w:hAnsi="Times New Roman" w:cs="Times New Roman"/>
                <w:color w:val="222222"/>
                <w:kern w:val="0"/>
                <w:szCs w:val="24"/>
              </w:rPr>
            </w:pPr>
            <w:r w:rsidRPr="00147E19">
              <w:rPr>
                <w:rFonts w:ascii="Times New Roman" w:eastAsia="標楷體" w:hAnsi="Times New Roman" w:cs="Times New Roman"/>
                <w:color w:val="000000"/>
                <w:kern w:val="0"/>
                <w:szCs w:val="24"/>
              </w:rPr>
              <w:t>網址：</w:t>
            </w:r>
            <w:r w:rsidR="005F4284" w:rsidRPr="005F4284">
              <w:rPr>
                <w:rFonts w:ascii="Times New Roman" w:eastAsia="標楷體" w:hAnsi="Times New Roman" w:cs="Times New Roman"/>
                <w:color w:val="0000FF"/>
                <w:kern w:val="0"/>
                <w:szCs w:val="24"/>
                <w:u w:val="single"/>
              </w:rPr>
              <w:t>https://www.gov.uk/drug-safety-update/denosumab-60mg-prolia-should-not-be-used-in-patients-under-18-years-due-to-the-risk-of-serious-hypercalcaemia</w:t>
            </w:r>
          </w:p>
        </w:tc>
      </w:tr>
      <w:tr w:rsidR="00707B8C" w:rsidRPr="00147E19" w14:paraId="7713E7DD" w14:textId="77777777" w:rsidTr="00E445FF">
        <w:trPr>
          <w:trHeight w:val="896"/>
          <w:jc w:val="center"/>
        </w:trPr>
        <w:tc>
          <w:tcPr>
            <w:tcW w:w="1988" w:type="dxa"/>
            <w:vAlign w:val="center"/>
          </w:tcPr>
          <w:p w14:paraId="0CCE4568" w14:textId="77777777" w:rsidR="00707B8C" w:rsidRPr="00147E19" w:rsidRDefault="00095F30"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lastRenderedPageBreak/>
              <w:t>藥品安全有關資訊分析及描述</w:t>
            </w:r>
          </w:p>
        </w:tc>
        <w:tc>
          <w:tcPr>
            <w:tcW w:w="7741" w:type="dxa"/>
          </w:tcPr>
          <w:p w14:paraId="297A0C33" w14:textId="12FFEE52" w:rsidR="005A5720" w:rsidRPr="005A5720" w:rsidRDefault="00CA33F0" w:rsidP="006D6FDA">
            <w:pPr>
              <w:widowControl/>
              <w:numPr>
                <w:ilvl w:val="0"/>
                <w:numId w:val="8"/>
              </w:numPr>
              <w:shd w:val="clear" w:color="auto" w:fill="FFFFFF"/>
              <w:jc w:val="both"/>
              <w:rPr>
                <w:rFonts w:ascii="Times New Roman" w:eastAsia="標楷體" w:hAnsi="Times New Roman" w:cs="Times New Roman"/>
                <w:kern w:val="0"/>
                <w:szCs w:val="24"/>
              </w:rPr>
            </w:pPr>
            <w:r>
              <w:rPr>
                <w:rFonts w:ascii="Times New Roman" w:eastAsia="標楷體" w:hAnsi="Times New Roman" w:cs="Times New Roman" w:hint="eastAsia"/>
                <w:color w:val="000000" w:themeColor="text1"/>
                <w:szCs w:val="24"/>
              </w:rPr>
              <w:t>曾於使用</w:t>
            </w:r>
            <w:r w:rsidRPr="004F5977">
              <w:rPr>
                <w:rFonts w:ascii="Times New Roman" w:eastAsia="標楷體" w:hAnsi="標楷體" w:cs="Times New Roman"/>
                <w:color w:val="000000" w:themeColor="text1"/>
                <w:szCs w:val="24"/>
              </w:rPr>
              <w:t>Prolia</w:t>
            </w:r>
            <w:r w:rsidRPr="00CA33F0">
              <w:rPr>
                <w:rFonts w:ascii="Times New Roman" w:eastAsia="標楷體" w:hAnsi="標楷體" w:cs="Times New Roman"/>
                <w:color w:val="000000" w:themeColor="text1"/>
                <w:szCs w:val="24"/>
              </w:rPr>
              <w:t>®</w:t>
            </w:r>
            <w:r w:rsidRPr="004F5977">
              <w:rPr>
                <w:rFonts w:ascii="Times New Roman" w:eastAsia="標楷體" w:hAnsi="標楷體" w:cs="Times New Roman"/>
                <w:color w:val="000000" w:themeColor="text1"/>
                <w:szCs w:val="24"/>
              </w:rPr>
              <w:t>(denosumab 60mg)</w:t>
            </w:r>
            <w:r w:rsidR="007B3EC5">
              <w:rPr>
                <w:rFonts w:ascii="Times New Roman" w:eastAsia="標楷體" w:hAnsi="Times New Roman" w:cs="Times New Roman" w:hint="eastAsia"/>
                <w:kern w:val="0"/>
                <w:szCs w:val="24"/>
              </w:rPr>
              <w:t>治療</w:t>
            </w:r>
            <w:r w:rsidR="00D37BFB">
              <w:rPr>
                <w:rFonts w:ascii="Times New Roman" w:eastAsia="標楷體" w:hAnsi="Times New Roman" w:cs="Times New Roman" w:hint="eastAsia"/>
                <w:kern w:val="0"/>
                <w:szCs w:val="24"/>
              </w:rPr>
              <w:t>18</w:t>
            </w:r>
            <w:r w:rsidR="00D37BFB">
              <w:rPr>
                <w:rFonts w:ascii="Times New Roman" w:eastAsia="標楷體" w:hAnsi="Times New Roman" w:cs="Times New Roman" w:hint="eastAsia"/>
                <w:kern w:val="0"/>
                <w:szCs w:val="24"/>
              </w:rPr>
              <w:t>歲以下</w:t>
            </w:r>
            <w:r w:rsidR="006D6FDA">
              <w:rPr>
                <w:rFonts w:ascii="Times New Roman" w:eastAsia="標楷體" w:hAnsi="Times New Roman" w:cs="Times New Roman" w:hint="eastAsia"/>
                <w:color w:val="000000" w:themeColor="text1"/>
                <w:szCs w:val="24"/>
              </w:rPr>
              <w:t>成骨不全症</w:t>
            </w:r>
            <w:r w:rsidR="006D6FDA">
              <w:rPr>
                <w:rFonts w:ascii="Times New Roman" w:eastAsia="標楷體" w:hAnsi="Times New Roman" w:cs="Times New Roman" w:hint="eastAsia"/>
                <w:color w:val="000000" w:themeColor="text1"/>
                <w:szCs w:val="24"/>
              </w:rPr>
              <w:t>(</w:t>
            </w:r>
            <w:r w:rsidR="006D6FDA" w:rsidRPr="006D6FDA">
              <w:rPr>
                <w:rFonts w:ascii="Times New Roman" w:eastAsia="標楷體" w:hAnsi="Times New Roman" w:cs="Times New Roman"/>
                <w:color w:val="000000" w:themeColor="text1"/>
                <w:szCs w:val="24"/>
              </w:rPr>
              <w:t>osteogenesis imperfecta</w:t>
            </w:r>
            <w:r w:rsidR="006D6FDA">
              <w:rPr>
                <w:rFonts w:ascii="Times New Roman" w:eastAsia="標楷體" w:hAnsi="Times New Roman" w:cs="Times New Roman" w:hint="eastAsia"/>
                <w:color w:val="000000" w:themeColor="text1"/>
                <w:szCs w:val="24"/>
              </w:rPr>
              <w:t>)</w:t>
            </w:r>
            <w:r w:rsidR="00D37BFB">
              <w:rPr>
                <w:rFonts w:ascii="Times New Roman" w:eastAsia="標楷體" w:hAnsi="Times New Roman" w:cs="Times New Roman" w:hint="eastAsia"/>
                <w:kern w:val="0"/>
                <w:szCs w:val="24"/>
              </w:rPr>
              <w:t xml:space="preserve"> </w:t>
            </w:r>
            <w:r w:rsidR="00D37BFB">
              <w:rPr>
                <w:rFonts w:ascii="Times New Roman" w:eastAsia="標楷體" w:hAnsi="Times New Roman" w:cs="Times New Roman" w:hint="eastAsia"/>
                <w:kern w:val="0"/>
                <w:szCs w:val="24"/>
              </w:rPr>
              <w:t>病人</w:t>
            </w:r>
            <w:r w:rsidR="005A5720">
              <w:rPr>
                <w:rFonts w:ascii="Times New Roman" w:eastAsia="標楷體" w:hAnsi="Times New Roman" w:cs="Times New Roman" w:hint="eastAsia"/>
                <w:color w:val="000000" w:themeColor="text1"/>
                <w:szCs w:val="24"/>
              </w:rPr>
              <w:t>的</w:t>
            </w:r>
            <w:r w:rsidR="006D6FDA">
              <w:rPr>
                <w:rFonts w:ascii="Times New Roman" w:eastAsia="標楷體" w:hAnsi="Times New Roman" w:cs="Times New Roman" w:hint="eastAsia"/>
                <w:color w:val="000000" w:themeColor="text1"/>
                <w:szCs w:val="24"/>
              </w:rPr>
              <w:t>臨床試驗</w:t>
            </w:r>
            <w:r w:rsidR="005A5720">
              <w:rPr>
                <w:rFonts w:ascii="Times New Roman" w:eastAsia="標楷體" w:hAnsi="Times New Roman" w:cs="Times New Roman" w:hint="eastAsia"/>
                <w:color w:val="000000" w:themeColor="text1"/>
                <w:szCs w:val="24"/>
              </w:rPr>
              <w:t>中，</w:t>
            </w:r>
            <w:r w:rsidR="00774869">
              <w:rPr>
                <w:rFonts w:ascii="Times New Roman" w:eastAsia="標楷體" w:hAnsi="Times New Roman" w:cs="Times New Roman" w:hint="eastAsia"/>
                <w:color w:val="000000" w:themeColor="text1"/>
                <w:szCs w:val="24"/>
              </w:rPr>
              <w:t>發生嚴重且危及</w:t>
            </w:r>
            <w:r w:rsidR="005A5720">
              <w:rPr>
                <w:rFonts w:ascii="Times New Roman" w:eastAsia="標楷體" w:hAnsi="Times New Roman" w:cs="Times New Roman" w:hint="eastAsia"/>
                <w:color w:val="000000" w:themeColor="text1"/>
                <w:szCs w:val="24"/>
              </w:rPr>
              <w:t>生命</w:t>
            </w:r>
            <w:r w:rsidR="00D37BFB">
              <w:rPr>
                <w:rFonts w:ascii="Times New Roman" w:eastAsia="標楷體" w:hAnsi="Times New Roman" w:cs="Times New Roman" w:hint="eastAsia"/>
                <w:color w:val="000000" w:themeColor="text1"/>
                <w:szCs w:val="24"/>
              </w:rPr>
              <w:t>之</w:t>
            </w:r>
            <w:r w:rsidR="007B3EC5">
              <w:rPr>
                <w:rFonts w:ascii="Times New Roman" w:eastAsia="標楷體" w:hAnsi="Times New Roman" w:cs="Times New Roman" w:hint="eastAsia"/>
                <w:color w:val="000000" w:themeColor="text1"/>
                <w:szCs w:val="24"/>
              </w:rPr>
              <w:t>高血鈣合併急性腎損傷</w:t>
            </w:r>
            <w:r w:rsidR="00D37BFB">
              <w:rPr>
                <w:rFonts w:ascii="Times New Roman" w:eastAsia="標楷體" w:hAnsi="Times New Roman" w:cs="Times New Roman" w:hint="eastAsia"/>
                <w:color w:val="000000" w:themeColor="text1"/>
                <w:szCs w:val="24"/>
              </w:rPr>
              <w:t>，</w:t>
            </w:r>
            <w:r w:rsidR="005A5720">
              <w:rPr>
                <w:rFonts w:ascii="Times New Roman" w:eastAsia="標楷體" w:hAnsi="Times New Roman" w:cs="Times New Roman" w:hint="eastAsia"/>
                <w:color w:val="000000" w:themeColor="text1"/>
                <w:szCs w:val="24"/>
              </w:rPr>
              <w:t>並需住院治療之案例。</w:t>
            </w:r>
          </w:p>
          <w:p w14:paraId="3E9F2744" w14:textId="140A33E7" w:rsidR="005A5720" w:rsidRPr="00D37BFB" w:rsidRDefault="005A5720" w:rsidP="00D37BFB">
            <w:pPr>
              <w:widowControl/>
              <w:numPr>
                <w:ilvl w:val="0"/>
                <w:numId w:val="8"/>
              </w:numPr>
              <w:shd w:val="clear" w:color="auto" w:fill="FFFFFF"/>
              <w:jc w:val="both"/>
              <w:rPr>
                <w:rFonts w:ascii="Times New Roman" w:eastAsia="標楷體" w:hAnsi="Times New Roman" w:cs="Times New Roman"/>
                <w:kern w:val="0"/>
                <w:szCs w:val="24"/>
              </w:rPr>
            </w:pPr>
            <w:r>
              <w:rPr>
                <w:rFonts w:ascii="Times New Roman" w:eastAsia="標楷體" w:hAnsi="Times New Roman" w:cs="Times New Roman" w:hint="eastAsia"/>
                <w:color w:val="000000" w:themeColor="text1"/>
                <w:szCs w:val="24"/>
              </w:rPr>
              <w:t>截至</w:t>
            </w:r>
            <w:r>
              <w:rPr>
                <w:rFonts w:ascii="Times New Roman" w:eastAsia="標楷體" w:hAnsi="Times New Roman" w:cs="Times New Roman" w:hint="eastAsia"/>
                <w:color w:val="000000" w:themeColor="text1"/>
                <w:szCs w:val="24"/>
              </w:rPr>
              <w:t>2021</w:t>
            </w:r>
            <w:r>
              <w:rPr>
                <w:rFonts w:ascii="Times New Roman" w:eastAsia="標楷體" w:hAnsi="Times New Roman" w:cs="Times New Roman" w:hint="eastAsia"/>
                <w:color w:val="000000" w:themeColor="text1"/>
                <w:szCs w:val="24"/>
              </w:rPr>
              <w:t>年</w:t>
            </w:r>
            <w:r>
              <w:rPr>
                <w:rFonts w:ascii="Times New Roman" w:eastAsia="標楷體" w:hAnsi="Times New Roman" w:cs="Times New Roman" w:hint="eastAsia"/>
                <w:color w:val="000000" w:themeColor="text1"/>
                <w:szCs w:val="24"/>
              </w:rPr>
              <w:t>8</w:t>
            </w:r>
            <w:r>
              <w:rPr>
                <w:rFonts w:ascii="Times New Roman" w:eastAsia="標楷體" w:hAnsi="Times New Roman" w:cs="Times New Roman" w:hint="eastAsia"/>
                <w:color w:val="000000" w:themeColor="text1"/>
                <w:szCs w:val="24"/>
              </w:rPr>
              <w:t>月</w:t>
            </w:r>
            <w:r>
              <w:rPr>
                <w:rFonts w:ascii="Times New Roman" w:eastAsia="標楷體" w:hAnsi="Times New Roman" w:cs="Times New Roman" w:hint="eastAsia"/>
                <w:color w:val="000000" w:themeColor="text1"/>
                <w:szCs w:val="24"/>
              </w:rPr>
              <w:t>26</w:t>
            </w:r>
            <w:r>
              <w:rPr>
                <w:rFonts w:ascii="Times New Roman" w:eastAsia="標楷體" w:hAnsi="Times New Roman" w:cs="Times New Roman" w:hint="eastAsia"/>
                <w:color w:val="000000" w:themeColor="text1"/>
                <w:szCs w:val="24"/>
              </w:rPr>
              <w:t>日，全球共接獲</w:t>
            </w:r>
            <w:r>
              <w:rPr>
                <w:rFonts w:ascii="Times New Roman" w:eastAsia="標楷體" w:hAnsi="Times New Roman" w:cs="Times New Roman" w:hint="eastAsia"/>
                <w:color w:val="000000" w:themeColor="text1"/>
                <w:szCs w:val="24"/>
              </w:rPr>
              <w:t>20</w:t>
            </w:r>
            <w:r>
              <w:rPr>
                <w:rFonts w:ascii="Times New Roman" w:eastAsia="標楷體" w:hAnsi="Times New Roman" w:cs="Times New Roman" w:hint="eastAsia"/>
                <w:color w:val="000000" w:themeColor="text1"/>
                <w:szCs w:val="24"/>
              </w:rPr>
              <w:t>例疑似</w:t>
            </w:r>
            <w:r>
              <w:rPr>
                <w:rFonts w:ascii="Times New Roman" w:eastAsia="標楷體" w:hAnsi="Times New Roman" w:cs="Times New Roman" w:hint="eastAsia"/>
                <w:color w:val="000000" w:themeColor="text1"/>
                <w:szCs w:val="24"/>
              </w:rPr>
              <w:t>18</w:t>
            </w:r>
            <w:r>
              <w:rPr>
                <w:rFonts w:ascii="Times New Roman" w:eastAsia="標楷體" w:hAnsi="Times New Roman" w:cs="Times New Roman" w:hint="eastAsia"/>
                <w:color w:val="000000" w:themeColor="text1"/>
                <w:szCs w:val="24"/>
              </w:rPr>
              <w:t>歲以下兒童</w:t>
            </w:r>
            <w:r w:rsidR="00CD3FFC">
              <w:rPr>
                <w:rFonts w:ascii="Times New Roman" w:eastAsia="標楷體" w:hAnsi="Times New Roman" w:cs="Times New Roman" w:hint="eastAsia"/>
                <w:color w:val="000000" w:themeColor="text1"/>
                <w:szCs w:val="24"/>
              </w:rPr>
              <w:t>及</w:t>
            </w:r>
            <w:r>
              <w:rPr>
                <w:rFonts w:ascii="Times New Roman" w:eastAsia="標楷體" w:hAnsi="Times New Roman" w:cs="Times New Roman" w:hint="eastAsia"/>
                <w:color w:val="000000" w:themeColor="text1"/>
                <w:szCs w:val="24"/>
              </w:rPr>
              <w:t>青少年病人適應症外使用</w:t>
            </w:r>
            <w:r w:rsidR="00345054" w:rsidRPr="00723163">
              <w:rPr>
                <w:rFonts w:ascii="Times New Roman" w:eastAsia="標楷體" w:hAnsi="Times New Roman" w:cs="Times New Roman" w:hint="eastAsia"/>
                <w:color w:val="000000" w:themeColor="text1"/>
                <w:kern w:val="0"/>
                <w:szCs w:val="24"/>
              </w:rPr>
              <w:t>(off-label use)</w:t>
            </w:r>
            <w:r w:rsidR="00345054">
              <w:rPr>
                <w:rFonts w:ascii="Times New Roman" w:eastAsia="標楷體" w:hAnsi="Times New Roman" w:cs="Times New Roman" w:hint="eastAsia"/>
                <w:color w:val="000000" w:themeColor="text1"/>
                <w:kern w:val="0"/>
                <w:szCs w:val="24"/>
              </w:rPr>
              <w:t xml:space="preserve"> </w:t>
            </w:r>
            <w:r w:rsidR="00CA33F0" w:rsidRPr="004F5977">
              <w:rPr>
                <w:rFonts w:ascii="Times New Roman" w:eastAsia="標楷體" w:hAnsi="標楷體" w:cs="Times New Roman"/>
                <w:color w:val="000000" w:themeColor="text1"/>
                <w:szCs w:val="24"/>
              </w:rPr>
              <w:t>Prolia</w:t>
            </w:r>
            <w:r w:rsidR="00CA33F0" w:rsidRPr="00CA33F0">
              <w:rPr>
                <w:rFonts w:ascii="Times New Roman" w:eastAsia="標楷體" w:hAnsi="標楷體" w:cs="Times New Roman"/>
                <w:color w:val="000000" w:themeColor="text1"/>
                <w:szCs w:val="24"/>
              </w:rPr>
              <w:t>®</w:t>
            </w:r>
            <w:r w:rsidR="00CA33F0" w:rsidRPr="004F5977">
              <w:rPr>
                <w:rFonts w:ascii="Times New Roman" w:eastAsia="標楷體" w:hAnsi="標楷體" w:cs="Times New Roman"/>
                <w:color w:val="000000" w:themeColor="text1"/>
                <w:szCs w:val="24"/>
              </w:rPr>
              <w:t>(denosumab 60mg)</w:t>
            </w:r>
            <w:r w:rsidR="00CD3FFC">
              <w:rPr>
                <w:rFonts w:ascii="Times New Roman" w:eastAsia="標楷體" w:hAnsi="Times New Roman" w:cs="Times New Roman" w:hint="eastAsia"/>
                <w:color w:val="000000" w:themeColor="text1"/>
                <w:szCs w:val="24"/>
              </w:rPr>
              <w:t xml:space="preserve"> </w:t>
            </w:r>
            <w:r w:rsidR="00CD3FFC">
              <w:rPr>
                <w:rFonts w:ascii="Times New Roman" w:eastAsia="標楷體" w:hAnsi="Times New Roman" w:cs="Times New Roman" w:hint="eastAsia"/>
                <w:color w:val="000000" w:themeColor="text1"/>
                <w:szCs w:val="24"/>
              </w:rPr>
              <w:t>後</w:t>
            </w:r>
            <w:r>
              <w:rPr>
                <w:rFonts w:ascii="Times New Roman" w:eastAsia="標楷體" w:hAnsi="Times New Roman" w:cs="Times New Roman" w:hint="eastAsia"/>
                <w:color w:val="000000" w:themeColor="text1"/>
                <w:szCs w:val="24"/>
              </w:rPr>
              <w:t>發生高血鈣之通報案例</w:t>
            </w:r>
            <w:r w:rsidR="008F0AE0">
              <w:rPr>
                <w:rFonts w:ascii="Times New Roman" w:eastAsia="標楷體" w:hAnsi="Times New Roman" w:cs="Times New Roman" w:hint="eastAsia"/>
                <w:color w:val="000000" w:themeColor="text1"/>
                <w:szCs w:val="24"/>
              </w:rPr>
              <w:t>；</w:t>
            </w:r>
            <w:r w:rsidR="006217AD">
              <w:rPr>
                <w:rFonts w:ascii="Times New Roman" w:eastAsia="標楷體" w:hAnsi="Times New Roman" w:cs="Times New Roman" w:hint="eastAsia"/>
                <w:color w:val="000000" w:themeColor="text1"/>
                <w:szCs w:val="24"/>
              </w:rPr>
              <w:t>其中</w:t>
            </w:r>
            <w:r w:rsidR="00CD3FFC">
              <w:rPr>
                <w:rFonts w:ascii="Times New Roman" w:eastAsia="標楷體" w:hAnsi="Times New Roman" w:cs="Times New Roman" w:hint="eastAsia"/>
                <w:color w:val="000000" w:themeColor="text1"/>
                <w:szCs w:val="24"/>
              </w:rPr>
              <w:t>有</w:t>
            </w:r>
            <w:r w:rsidR="008F0AE0">
              <w:rPr>
                <w:rFonts w:ascii="Times New Roman" w:eastAsia="標楷體" w:hAnsi="Times New Roman" w:cs="Times New Roman" w:hint="eastAsia"/>
                <w:color w:val="000000" w:themeColor="text1"/>
                <w:szCs w:val="24"/>
              </w:rPr>
              <w:t>部分</w:t>
            </w:r>
            <w:r w:rsidR="006217AD">
              <w:rPr>
                <w:rFonts w:ascii="Times New Roman" w:eastAsia="標楷體" w:hAnsi="Times New Roman" w:cs="Times New Roman" w:hint="eastAsia"/>
                <w:color w:val="000000" w:themeColor="text1"/>
                <w:szCs w:val="24"/>
              </w:rPr>
              <w:t>案例為</w:t>
            </w:r>
            <w:r w:rsidR="008F0AE0">
              <w:rPr>
                <w:rFonts w:ascii="Times New Roman" w:eastAsia="標楷體" w:hAnsi="Times New Roman" w:cs="Times New Roman" w:hint="eastAsia"/>
                <w:color w:val="000000" w:themeColor="text1"/>
                <w:szCs w:val="24"/>
              </w:rPr>
              <w:t>停藥</w:t>
            </w:r>
            <w:r w:rsidR="008F0AE0" w:rsidRPr="00D37BFB">
              <w:rPr>
                <w:rFonts w:ascii="Times New Roman" w:eastAsia="標楷體" w:hAnsi="Times New Roman" w:cs="Times New Roman" w:hint="eastAsia"/>
                <w:color w:val="000000" w:themeColor="text1"/>
                <w:szCs w:val="24"/>
              </w:rPr>
              <w:t>後發生反彈性高血</w:t>
            </w:r>
            <w:r w:rsidR="006217AD" w:rsidRPr="00D37BFB">
              <w:rPr>
                <w:rFonts w:ascii="Times New Roman" w:eastAsia="標楷體" w:hAnsi="Times New Roman" w:cs="Times New Roman" w:hint="eastAsia"/>
                <w:color w:val="000000" w:themeColor="text1"/>
                <w:szCs w:val="24"/>
              </w:rPr>
              <w:t>鈣</w:t>
            </w:r>
            <w:r w:rsidR="00CD3FFC" w:rsidRPr="00D37BFB">
              <w:rPr>
                <w:rFonts w:ascii="Times New Roman" w:eastAsia="標楷體" w:hAnsi="Times New Roman" w:cs="Times New Roman" w:hint="eastAsia"/>
                <w:color w:val="000000" w:themeColor="text1"/>
                <w:szCs w:val="24"/>
              </w:rPr>
              <w:t xml:space="preserve"> </w:t>
            </w:r>
            <w:r w:rsidR="00DA4405" w:rsidRPr="00D37BFB">
              <w:rPr>
                <w:rFonts w:ascii="Times New Roman" w:eastAsia="標楷體" w:hAnsi="Times New Roman" w:cs="Times New Roman" w:hint="eastAsia"/>
                <w:color w:val="000000" w:themeColor="text1"/>
                <w:szCs w:val="24"/>
              </w:rPr>
              <w:t>(</w:t>
            </w:r>
            <w:r w:rsidR="006217AD" w:rsidRPr="00D37BFB">
              <w:rPr>
                <w:rFonts w:ascii="Times New Roman" w:eastAsia="標楷體" w:hAnsi="Times New Roman" w:cs="Times New Roman"/>
                <w:color w:val="000000" w:themeColor="text1"/>
                <w:szCs w:val="24"/>
              </w:rPr>
              <w:t xml:space="preserve">rebound </w:t>
            </w:r>
            <w:r w:rsidR="00CA33F0" w:rsidRPr="00D37BFB">
              <w:rPr>
                <w:rFonts w:ascii="Times New Roman" w:eastAsia="標楷體" w:hAnsi="Times New Roman" w:cs="Times New Roman"/>
                <w:color w:val="000000" w:themeColor="text1"/>
                <w:szCs w:val="24"/>
              </w:rPr>
              <w:t>hypercalc</w:t>
            </w:r>
            <w:r w:rsidR="00CA33F0">
              <w:rPr>
                <w:rFonts w:ascii="Times New Roman" w:eastAsia="標楷體" w:hAnsi="Times New Roman" w:cs="Times New Roman"/>
                <w:color w:val="000000" w:themeColor="text1"/>
                <w:szCs w:val="24"/>
              </w:rPr>
              <w:t>e</w:t>
            </w:r>
            <w:r w:rsidR="00CA33F0" w:rsidRPr="00D37BFB">
              <w:rPr>
                <w:rFonts w:ascii="Times New Roman" w:eastAsia="標楷體" w:hAnsi="Times New Roman" w:cs="Times New Roman"/>
                <w:color w:val="000000" w:themeColor="text1"/>
                <w:szCs w:val="24"/>
              </w:rPr>
              <w:t>mia</w:t>
            </w:r>
            <w:r w:rsidR="008F0AE0" w:rsidRPr="00D37BFB">
              <w:rPr>
                <w:rFonts w:ascii="Times New Roman" w:eastAsia="標楷體" w:hAnsi="Times New Roman" w:cs="Times New Roman" w:hint="eastAsia"/>
                <w:color w:val="000000" w:themeColor="text1"/>
                <w:szCs w:val="24"/>
              </w:rPr>
              <w:t>)</w:t>
            </w:r>
            <w:r w:rsidR="006217AD" w:rsidRPr="00D37BFB">
              <w:rPr>
                <w:rFonts w:ascii="Times New Roman" w:eastAsia="標楷體" w:hAnsi="Times New Roman" w:cs="Times New Roman" w:hint="eastAsia"/>
                <w:color w:val="000000" w:themeColor="text1"/>
                <w:szCs w:val="24"/>
              </w:rPr>
              <w:t>。</w:t>
            </w:r>
          </w:p>
          <w:p w14:paraId="7174A839" w14:textId="1030CE9D" w:rsidR="0040432A" w:rsidRPr="0040432A" w:rsidRDefault="00F65BB4" w:rsidP="006D6FDA">
            <w:pPr>
              <w:widowControl/>
              <w:numPr>
                <w:ilvl w:val="0"/>
                <w:numId w:val="8"/>
              </w:numPr>
              <w:shd w:val="clear" w:color="auto" w:fill="FFFFFF"/>
              <w:jc w:val="both"/>
              <w:rPr>
                <w:rFonts w:ascii="Times New Roman" w:eastAsia="標楷體" w:hAnsi="Times New Roman" w:cs="Times New Roman"/>
                <w:kern w:val="0"/>
                <w:szCs w:val="24"/>
              </w:rPr>
            </w:pPr>
            <w:r>
              <w:rPr>
                <w:rFonts w:ascii="Times New Roman" w:eastAsia="標楷體" w:hAnsi="Times New Roman" w:cs="Times New Roman" w:hint="eastAsia"/>
                <w:color w:val="000000" w:themeColor="text1"/>
                <w:szCs w:val="24"/>
              </w:rPr>
              <w:t>近期一項歐洲</w:t>
            </w:r>
            <w:r w:rsidR="00E43F14">
              <w:rPr>
                <w:rFonts w:ascii="Times New Roman" w:eastAsia="標楷體" w:hAnsi="Times New Roman" w:cs="Times New Roman" w:hint="eastAsia"/>
                <w:color w:val="000000" w:themeColor="text1"/>
                <w:szCs w:val="24"/>
              </w:rPr>
              <w:t>文獻</w:t>
            </w:r>
            <w:r w:rsidR="006217AD">
              <w:rPr>
                <w:rFonts w:ascii="Times New Roman" w:eastAsia="標楷體" w:hAnsi="Times New Roman" w:cs="Times New Roman" w:hint="eastAsia"/>
                <w:color w:val="000000" w:themeColor="text1"/>
                <w:szCs w:val="24"/>
              </w:rPr>
              <w:t>經</w:t>
            </w:r>
            <w:r w:rsidR="00955AE4">
              <w:rPr>
                <w:rFonts w:ascii="Times New Roman" w:eastAsia="標楷體" w:hAnsi="Times New Roman" w:cs="Times New Roman" w:hint="eastAsia"/>
                <w:color w:val="000000" w:themeColor="text1"/>
                <w:szCs w:val="24"/>
              </w:rPr>
              <w:t>回顧</w:t>
            </w:r>
            <w:r w:rsidR="00CA33F0" w:rsidRPr="004F5977">
              <w:rPr>
                <w:rFonts w:ascii="Times New Roman" w:eastAsia="標楷體" w:hAnsi="標楷體" w:cs="Times New Roman"/>
                <w:color w:val="000000" w:themeColor="text1"/>
                <w:szCs w:val="24"/>
              </w:rPr>
              <w:t>Prolia</w:t>
            </w:r>
            <w:r w:rsidR="00CA33F0" w:rsidRPr="00C519CC">
              <w:rPr>
                <w:rFonts w:ascii="Times New Roman" w:eastAsia="標楷體" w:hAnsi="標楷體" w:cs="Times New Roman"/>
                <w:color w:val="000000" w:themeColor="text1"/>
                <w:szCs w:val="24"/>
              </w:rPr>
              <w:t>®</w:t>
            </w:r>
            <w:r w:rsidR="00CA33F0" w:rsidRPr="004F5977">
              <w:rPr>
                <w:rFonts w:ascii="Times New Roman" w:eastAsia="標楷體" w:hAnsi="標楷體" w:cs="Times New Roman"/>
                <w:color w:val="000000" w:themeColor="text1"/>
                <w:szCs w:val="24"/>
              </w:rPr>
              <w:t>(denosumab 60mg)</w:t>
            </w:r>
            <w:r w:rsidR="00D37BFB">
              <w:rPr>
                <w:rFonts w:ascii="Times New Roman" w:eastAsia="標楷體" w:hAnsi="Times New Roman" w:cs="Times New Roman" w:hint="eastAsia"/>
                <w:color w:val="000000" w:themeColor="text1"/>
                <w:szCs w:val="24"/>
              </w:rPr>
              <w:t xml:space="preserve"> </w:t>
            </w:r>
            <w:r w:rsidR="00CD3FFC">
              <w:rPr>
                <w:rFonts w:ascii="Times New Roman" w:eastAsia="標楷體" w:hAnsi="Times New Roman" w:cs="Times New Roman" w:hint="eastAsia"/>
                <w:color w:val="000000" w:themeColor="text1"/>
                <w:szCs w:val="24"/>
              </w:rPr>
              <w:t>之</w:t>
            </w:r>
            <w:r w:rsidR="006217AD">
              <w:rPr>
                <w:rFonts w:ascii="Times New Roman" w:eastAsia="標楷體" w:hAnsi="Times New Roman" w:cs="Times New Roman" w:hint="eastAsia"/>
                <w:color w:val="000000" w:themeColor="text1"/>
                <w:szCs w:val="24"/>
              </w:rPr>
              <w:t>嚴重高血鈣案例</w:t>
            </w:r>
            <w:r w:rsidR="00CD3FFC">
              <w:rPr>
                <w:rFonts w:ascii="Times New Roman" w:eastAsia="標楷體" w:hAnsi="Times New Roman" w:cs="Times New Roman" w:hint="eastAsia"/>
                <w:color w:val="000000" w:themeColor="text1"/>
                <w:szCs w:val="24"/>
              </w:rPr>
              <w:t>後</w:t>
            </w:r>
            <w:r w:rsidR="006217AD">
              <w:rPr>
                <w:rFonts w:ascii="Times New Roman" w:eastAsia="標楷體" w:hAnsi="Times New Roman" w:cs="Times New Roman" w:hint="eastAsia"/>
                <w:color w:val="000000" w:themeColor="text1"/>
                <w:szCs w:val="24"/>
              </w:rPr>
              <w:t>建議加強</w:t>
            </w:r>
            <w:r w:rsidR="00D37BFB">
              <w:rPr>
                <w:rFonts w:ascii="Times New Roman" w:eastAsia="標楷體" w:hAnsi="Times New Roman" w:cs="Times New Roman" w:hint="eastAsia"/>
                <w:color w:val="000000" w:themeColor="text1"/>
                <w:szCs w:val="24"/>
              </w:rPr>
              <w:t>警示</w:t>
            </w:r>
            <w:r w:rsidR="001A637A">
              <w:rPr>
                <w:rFonts w:ascii="Times New Roman" w:eastAsia="標楷體" w:hAnsi="Times New Roman" w:cs="Times New Roman" w:hint="eastAsia"/>
                <w:color w:val="000000" w:themeColor="text1"/>
                <w:szCs w:val="24"/>
              </w:rPr>
              <w:t>，不建議</w:t>
            </w:r>
            <w:r w:rsidR="00CD3FFC">
              <w:rPr>
                <w:rFonts w:ascii="Times New Roman" w:eastAsia="標楷體" w:hAnsi="Times New Roman" w:cs="Times New Roman" w:hint="eastAsia"/>
                <w:color w:val="000000" w:themeColor="text1"/>
                <w:szCs w:val="24"/>
              </w:rPr>
              <w:t>該藥品</w:t>
            </w:r>
            <w:r w:rsidR="001A637A">
              <w:rPr>
                <w:rFonts w:ascii="Times New Roman" w:eastAsia="標楷體" w:hAnsi="Times New Roman" w:cs="Times New Roman" w:hint="eastAsia"/>
                <w:color w:val="000000" w:themeColor="text1"/>
                <w:szCs w:val="24"/>
              </w:rPr>
              <w:t>用</w:t>
            </w:r>
            <w:r w:rsidR="006217AD">
              <w:rPr>
                <w:rFonts w:ascii="Times New Roman" w:eastAsia="標楷體" w:hAnsi="Times New Roman" w:cs="Times New Roman" w:hint="eastAsia"/>
                <w:color w:val="000000" w:themeColor="text1"/>
                <w:szCs w:val="24"/>
              </w:rPr>
              <w:t>於</w:t>
            </w:r>
            <w:r w:rsidR="006217AD">
              <w:rPr>
                <w:rFonts w:ascii="Times New Roman" w:eastAsia="標楷體" w:hAnsi="Times New Roman" w:cs="Times New Roman" w:hint="eastAsia"/>
                <w:color w:val="000000" w:themeColor="text1"/>
                <w:szCs w:val="24"/>
              </w:rPr>
              <w:t>18</w:t>
            </w:r>
            <w:r w:rsidR="006217AD">
              <w:rPr>
                <w:rFonts w:ascii="Times New Roman" w:eastAsia="標楷體" w:hAnsi="Times New Roman" w:cs="Times New Roman" w:hint="eastAsia"/>
                <w:color w:val="000000" w:themeColor="text1"/>
                <w:szCs w:val="24"/>
              </w:rPr>
              <w:t>歲以下兒童</w:t>
            </w:r>
            <w:r w:rsidR="00CD3FFC">
              <w:rPr>
                <w:rFonts w:ascii="Times New Roman" w:eastAsia="標楷體" w:hAnsi="Times New Roman" w:cs="Times New Roman" w:hint="eastAsia"/>
                <w:color w:val="000000" w:themeColor="text1"/>
                <w:szCs w:val="24"/>
              </w:rPr>
              <w:t>及</w:t>
            </w:r>
            <w:r w:rsidR="006217AD">
              <w:rPr>
                <w:rFonts w:ascii="Times New Roman" w:eastAsia="標楷體" w:hAnsi="Times New Roman" w:cs="Times New Roman" w:hint="eastAsia"/>
                <w:color w:val="000000" w:themeColor="text1"/>
                <w:szCs w:val="24"/>
              </w:rPr>
              <w:t>青少年族群；英國</w:t>
            </w:r>
            <w:r w:rsidR="006217AD">
              <w:rPr>
                <w:rFonts w:ascii="Times New Roman" w:eastAsia="標楷體" w:hAnsi="Times New Roman" w:cs="Times New Roman" w:hint="eastAsia"/>
                <w:color w:val="000000" w:themeColor="text1"/>
                <w:szCs w:val="24"/>
              </w:rPr>
              <w:t>MHRA</w:t>
            </w:r>
            <w:r w:rsidR="006217AD">
              <w:rPr>
                <w:rFonts w:ascii="Times New Roman" w:eastAsia="標楷體" w:hAnsi="Times New Roman" w:cs="Times New Roman" w:hint="eastAsia"/>
                <w:color w:val="000000" w:themeColor="text1"/>
                <w:szCs w:val="24"/>
              </w:rPr>
              <w:t>考量上述建議</w:t>
            </w:r>
            <w:r w:rsidR="00CD3FFC">
              <w:rPr>
                <w:rFonts w:ascii="Times New Roman" w:eastAsia="標楷體" w:hAnsi="Times New Roman" w:cs="Times New Roman" w:hint="eastAsia"/>
                <w:color w:val="000000" w:themeColor="text1"/>
                <w:szCs w:val="24"/>
              </w:rPr>
              <w:t>及</w:t>
            </w:r>
            <w:r w:rsidR="00955AE4">
              <w:rPr>
                <w:rFonts w:ascii="Times New Roman" w:eastAsia="標楷體" w:hAnsi="Times New Roman" w:cs="Times New Roman" w:hint="eastAsia"/>
                <w:color w:val="000000" w:themeColor="text1"/>
                <w:szCs w:val="24"/>
              </w:rPr>
              <w:t>相關</w:t>
            </w:r>
            <w:r w:rsidR="006217AD">
              <w:rPr>
                <w:rFonts w:ascii="Times New Roman" w:eastAsia="標楷體" w:hAnsi="Times New Roman" w:cs="Times New Roman" w:hint="eastAsia"/>
                <w:color w:val="000000" w:themeColor="text1"/>
                <w:szCs w:val="24"/>
              </w:rPr>
              <w:t>安全性數據後，</w:t>
            </w:r>
            <w:r w:rsidR="00DA4405">
              <w:rPr>
                <w:rFonts w:ascii="Times New Roman" w:eastAsia="標楷體" w:hAnsi="Times New Roman" w:cs="Times New Roman" w:hint="eastAsia"/>
                <w:color w:val="000000" w:themeColor="text1"/>
                <w:szCs w:val="24"/>
              </w:rPr>
              <w:t>決議</w:t>
            </w:r>
            <w:r w:rsidR="006217AD">
              <w:rPr>
                <w:rFonts w:ascii="Times New Roman" w:eastAsia="標楷體" w:hAnsi="Times New Roman" w:cs="Times New Roman" w:hint="eastAsia"/>
                <w:color w:val="000000" w:themeColor="text1"/>
                <w:szCs w:val="24"/>
              </w:rPr>
              <w:t>更新</w:t>
            </w:r>
            <w:r w:rsidR="0048050A">
              <w:rPr>
                <w:rFonts w:ascii="Times New Roman" w:eastAsia="標楷體" w:hAnsi="Times New Roman" w:cs="Times New Roman" w:hint="eastAsia"/>
                <w:color w:val="000000" w:themeColor="text1"/>
                <w:szCs w:val="24"/>
              </w:rPr>
              <w:t>英國</w:t>
            </w:r>
            <w:r w:rsidR="006217AD" w:rsidRPr="009E5F93">
              <w:rPr>
                <w:rFonts w:ascii="Times New Roman" w:eastAsia="標楷體" w:hAnsi="Times New Roman" w:cs="Times New Roman"/>
                <w:color w:val="000000" w:themeColor="text1"/>
                <w:szCs w:val="24"/>
              </w:rPr>
              <w:t>Prolia</w:t>
            </w:r>
            <w:r w:rsidR="006217AD" w:rsidRPr="001A64DD">
              <w:rPr>
                <w:rFonts w:ascii="Times New Roman" w:eastAsia="標楷體" w:hAnsi="Times New Roman" w:cs="Times New Roman"/>
                <w:color w:val="000000" w:themeColor="text1"/>
                <w:szCs w:val="24"/>
                <w:vertAlign w:val="superscript"/>
              </w:rPr>
              <w:t>®</w:t>
            </w:r>
            <w:r w:rsidR="006217AD">
              <w:rPr>
                <w:rFonts w:ascii="Times New Roman" w:eastAsia="標楷體" w:hAnsi="Times New Roman" w:cs="Times New Roman" w:hint="eastAsia"/>
                <w:color w:val="000000" w:themeColor="text1"/>
                <w:szCs w:val="24"/>
              </w:rPr>
              <w:t>仿單</w:t>
            </w:r>
            <w:r w:rsidR="00DA4405">
              <w:rPr>
                <w:rFonts w:ascii="Times New Roman" w:eastAsia="標楷體" w:hAnsi="Times New Roman" w:cs="Times New Roman" w:hint="eastAsia"/>
                <w:color w:val="000000" w:themeColor="text1"/>
                <w:szCs w:val="24"/>
              </w:rPr>
              <w:t>，</w:t>
            </w:r>
            <w:r w:rsidR="001A637A">
              <w:rPr>
                <w:rFonts w:ascii="Times New Roman" w:eastAsia="標楷體" w:hAnsi="Times New Roman" w:cs="Times New Roman" w:hint="eastAsia"/>
                <w:color w:val="000000" w:themeColor="text1"/>
                <w:szCs w:val="24"/>
              </w:rPr>
              <w:t>不</w:t>
            </w:r>
            <w:r w:rsidR="00006301">
              <w:rPr>
                <w:rFonts w:ascii="Times New Roman" w:eastAsia="標楷體" w:hAnsi="Times New Roman" w:cs="Times New Roman" w:hint="eastAsia"/>
                <w:kern w:val="0"/>
                <w:szCs w:val="24"/>
              </w:rPr>
              <w:t>建議</w:t>
            </w:r>
            <w:r w:rsidR="00955AE4" w:rsidRPr="009E5F93">
              <w:rPr>
                <w:rFonts w:ascii="Times New Roman" w:eastAsia="標楷體" w:hAnsi="Times New Roman" w:cs="Times New Roman"/>
                <w:color w:val="000000" w:themeColor="text1"/>
                <w:szCs w:val="24"/>
              </w:rPr>
              <w:t>denosumab</w:t>
            </w:r>
            <w:r w:rsidR="00955AE4">
              <w:rPr>
                <w:rFonts w:ascii="Times New Roman" w:eastAsia="標楷體" w:hAnsi="Times New Roman" w:cs="Times New Roman" w:hint="eastAsia"/>
                <w:color w:val="000000" w:themeColor="text1"/>
                <w:szCs w:val="24"/>
              </w:rPr>
              <w:t xml:space="preserve"> 60 mg</w:t>
            </w:r>
            <w:r w:rsidR="00955AE4">
              <w:rPr>
                <w:rFonts w:ascii="Times New Roman" w:eastAsia="標楷體" w:hAnsi="Times New Roman" w:cs="Times New Roman" w:hint="eastAsia"/>
                <w:color w:val="000000" w:themeColor="text1"/>
                <w:szCs w:val="24"/>
              </w:rPr>
              <w:t>用於</w:t>
            </w:r>
            <w:r w:rsidR="00955AE4">
              <w:rPr>
                <w:rFonts w:ascii="Times New Roman" w:eastAsia="標楷體" w:hAnsi="Times New Roman" w:cs="Times New Roman" w:hint="eastAsia"/>
                <w:color w:val="000000" w:themeColor="text1"/>
                <w:szCs w:val="24"/>
              </w:rPr>
              <w:t>18</w:t>
            </w:r>
            <w:r w:rsidR="00955AE4">
              <w:rPr>
                <w:rFonts w:ascii="Times New Roman" w:eastAsia="標楷體" w:hAnsi="Times New Roman" w:cs="Times New Roman" w:hint="eastAsia"/>
                <w:color w:val="000000" w:themeColor="text1"/>
                <w:szCs w:val="24"/>
              </w:rPr>
              <w:t>歲以下</w:t>
            </w:r>
            <w:r w:rsidR="00D37BFB">
              <w:rPr>
                <w:rFonts w:ascii="Times New Roman" w:eastAsia="標楷體" w:hAnsi="Times New Roman" w:cs="Times New Roman" w:hint="eastAsia"/>
                <w:color w:val="000000" w:themeColor="text1"/>
                <w:szCs w:val="24"/>
              </w:rPr>
              <w:t>之</w:t>
            </w:r>
            <w:r w:rsidR="00955AE4">
              <w:rPr>
                <w:rFonts w:ascii="Times New Roman" w:eastAsia="標楷體" w:hAnsi="Times New Roman" w:cs="Times New Roman" w:hint="eastAsia"/>
                <w:color w:val="000000" w:themeColor="text1"/>
                <w:szCs w:val="24"/>
              </w:rPr>
              <w:t>兒童</w:t>
            </w:r>
            <w:r w:rsidR="00CD3FFC">
              <w:rPr>
                <w:rFonts w:ascii="Times New Roman" w:eastAsia="標楷體" w:hAnsi="Times New Roman" w:cs="Times New Roman" w:hint="eastAsia"/>
                <w:color w:val="000000" w:themeColor="text1"/>
                <w:szCs w:val="24"/>
              </w:rPr>
              <w:t>及</w:t>
            </w:r>
            <w:r w:rsidR="00955AE4">
              <w:rPr>
                <w:rFonts w:ascii="Times New Roman" w:eastAsia="標楷體" w:hAnsi="Times New Roman" w:cs="Times New Roman" w:hint="eastAsia"/>
                <w:color w:val="000000" w:themeColor="text1"/>
                <w:szCs w:val="24"/>
              </w:rPr>
              <w:t>青少年</w:t>
            </w:r>
            <w:r w:rsidR="00CD3FFC">
              <w:rPr>
                <w:rFonts w:ascii="Times New Roman" w:eastAsia="標楷體" w:hAnsi="Times New Roman" w:cs="Times New Roman" w:hint="eastAsia"/>
                <w:color w:val="000000" w:themeColor="text1"/>
                <w:szCs w:val="24"/>
              </w:rPr>
              <w:t>，以警示</w:t>
            </w:r>
            <w:r w:rsidR="00CD3FFC">
              <w:rPr>
                <w:rFonts w:ascii="Times New Roman" w:eastAsia="標楷體" w:hAnsi="Times New Roman" w:cs="Times New Roman" w:hint="eastAsia"/>
                <w:kern w:val="0"/>
                <w:szCs w:val="24"/>
              </w:rPr>
              <w:t>嚴重高血鈣之安全疑慮</w:t>
            </w:r>
            <w:r w:rsidR="006D6FDA">
              <w:rPr>
                <w:rFonts w:ascii="Times New Roman" w:eastAsia="標楷體" w:hAnsi="Times New Roman" w:cs="Times New Roman" w:hint="eastAsia"/>
                <w:color w:val="000000" w:themeColor="text1"/>
                <w:szCs w:val="24"/>
              </w:rPr>
              <w:t>。</w:t>
            </w:r>
          </w:p>
          <w:p w14:paraId="25BA4C75" w14:textId="3C120E98" w:rsidR="00707B8C" w:rsidRPr="001A637A" w:rsidRDefault="001D668E" w:rsidP="001A637A">
            <w:pPr>
              <w:widowControl/>
              <w:numPr>
                <w:ilvl w:val="0"/>
                <w:numId w:val="8"/>
              </w:numPr>
              <w:shd w:val="clear" w:color="auto" w:fill="FFFFFF"/>
              <w:jc w:val="both"/>
              <w:rPr>
                <w:rFonts w:ascii="Times New Roman" w:eastAsia="標楷體" w:hAnsi="Times New Roman" w:cs="Times New Roman"/>
                <w:kern w:val="0"/>
                <w:szCs w:val="24"/>
              </w:rPr>
            </w:pPr>
            <w:r>
              <w:rPr>
                <w:rFonts w:ascii="Times New Roman" w:eastAsia="標楷體" w:hAnsi="Times New Roman" w:cs="Times New Roman" w:hint="eastAsia"/>
                <w:szCs w:val="24"/>
              </w:rPr>
              <w:t>另有</w:t>
            </w:r>
            <w:proofErr w:type="gramStart"/>
            <w:r w:rsidR="00391751">
              <w:rPr>
                <w:rFonts w:ascii="Times New Roman" w:eastAsia="標楷體" w:hAnsi="Times New Roman" w:cs="Times New Roman" w:hint="eastAsia"/>
                <w:szCs w:val="24"/>
              </w:rPr>
              <w:t>治療骨巨細胞</w:t>
            </w:r>
            <w:proofErr w:type="gramEnd"/>
            <w:r w:rsidR="00391751">
              <w:rPr>
                <w:rFonts w:ascii="Times New Roman" w:eastAsia="標楷體" w:hAnsi="Times New Roman" w:cs="Times New Roman" w:hint="eastAsia"/>
                <w:szCs w:val="24"/>
              </w:rPr>
              <w:t>瘤及預防腫瘤之骨轉移相關骨骼事件</w:t>
            </w:r>
            <w:r w:rsidR="00CD3FFC">
              <w:rPr>
                <w:rFonts w:ascii="Times New Roman" w:eastAsia="標楷體" w:hAnsi="Times New Roman" w:cs="Times New Roman" w:hint="eastAsia"/>
                <w:szCs w:val="24"/>
              </w:rPr>
              <w:t>之</w:t>
            </w:r>
            <w:proofErr w:type="spellStart"/>
            <w:r w:rsidR="006A22DD" w:rsidRPr="0048050A">
              <w:rPr>
                <w:rFonts w:ascii="Times New Roman" w:eastAsia="標楷體" w:hAnsi="Times New Roman" w:cs="Times New Roman"/>
                <w:szCs w:val="24"/>
              </w:rPr>
              <w:t>Xgeva</w:t>
            </w:r>
            <w:proofErr w:type="spellEnd"/>
            <w:r w:rsidR="006A22DD" w:rsidRPr="00A301CF">
              <w:rPr>
                <w:rFonts w:ascii="Times New Roman" w:eastAsia="標楷體" w:hAnsi="Times New Roman" w:cs="Times New Roman"/>
                <w:szCs w:val="24"/>
                <w:vertAlign w:val="superscript"/>
              </w:rPr>
              <w:t>®</w:t>
            </w:r>
            <w:r w:rsidR="006A22DD" w:rsidRPr="001A7E04">
              <w:rPr>
                <w:rFonts w:ascii="Times New Roman" w:eastAsia="標楷體" w:hAnsi="Times New Roman" w:cs="Times New Roman"/>
                <w:szCs w:val="24"/>
              </w:rPr>
              <w:t>(</w:t>
            </w:r>
            <w:r w:rsidR="00C24F41">
              <w:rPr>
                <w:rFonts w:ascii="Times New Roman" w:eastAsia="標楷體" w:hAnsi="Times New Roman" w:cs="Times New Roman" w:hint="eastAsia"/>
                <w:szCs w:val="24"/>
              </w:rPr>
              <w:t>d</w:t>
            </w:r>
            <w:r w:rsidR="0048050A" w:rsidRPr="0048050A">
              <w:rPr>
                <w:rFonts w:ascii="Times New Roman" w:eastAsia="標楷體" w:hAnsi="Times New Roman" w:cs="Times New Roman"/>
                <w:szCs w:val="24"/>
              </w:rPr>
              <w:t>enosumab 120 mg</w:t>
            </w:r>
            <w:r w:rsidR="008225CA" w:rsidRPr="001A7E04">
              <w:rPr>
                <w:rFonts w:ascii="Times New Roman" w:eastAsia="標楷體" w:hAnsi="Times New Roman" w:cs="Times New Roman"/>
                <w:szCs w:val="24"/>
              </w:rPr>
              <w:t>)</w:t>
            </w:r>
            <w:r w:rsidR="00CD3FFC">
              <w:rPr>
                <w:rFonts w:ascii="Times New Roman" w:eastAsia="標楷體" w:hAnsi="Times New Roman" w:cs="Times New Roman" w:hint="eastAsia"/>
                <w:szCs w:val="24"/>
              </w:rPr>
              <w:t xml:space="preserve"> </w:t>
            </w:r>
            <w:r w:rsidR="00E65442">
              <w:rPr>
                <w:rFonts w:ascii="Times New Roman" w:eastAsia="標楷體" w:hAnsi="Times New Roman" w:cs="Times New Roman" w:hint="eastAsia"/>
                <w:szCs w:val="24"/>
              </w:rPr>
              <w:t>藥品，</w:t>
            </w:r>
            <w:r w:rsidR="00CD3FFC">
              <w:rPr>
                <w:rFonts w:ascii="Times New Roman" w:eastAsia="標楷體" w:hAnsi="Times New Roman" w:cs="Times New Roman" w:hint="eastAsia"/>
                <w:szCs w:val="24"/>
              </w:rPr>
              <w:t>已知其</w:t>
            </w:r>
            <w:r>
              <w:rPr>
                <w:rFonts w:ascii="Times New Roman" w:eastAsia="標楷體" w:hAnsi="Times New Roman" w:cs="Times New Roman" w:hint="eastAsia"/>
                <w:szCs w:val="24"/>
              </w:rPr>
              <w:t>在</w:t>
            </w:r>
            <w:r w:rsidR="005B7A2E">
              <w:rPr>
                <w:rFonts w:ascii="Times New Roman" w:eastAsia="標楷體" w:hAnsi="Times New Roman" w:cs="Times New Roman" w:hint="eastAsia"/>
                <w:szCs w:val="24"/>
              </w:rPr>
              <w:t>用於</w:t>
            </w:r>
            <w:r w:rsidR="00E445FF">
              <w:rPr>
                <w:rFonts w:ascii="Times New Roman" w:eastAsia="標楷體" w:hAnsi="Times New Roman" w:cs="Times New Roman" w:hint="eastAsia"/>
                <w:szCs w:val="24"/>
              </w:rPr>
              <w:t>骨骼成熟之青少年</w:t>
            </w:r>
            <w:r w:rsidR="00CD3FFC">
              <w:rPr>
                <w:rFonts w:ascii="Times New Roman" w:eastAsia="標楷體" w:hAnsi="Times New Roman" w:cs="Times New Roman" w:hint="eastAsia"/>
                <w:szCs w:val="24"/>
              </w:rPr>
              <w:t>及</w:t>
            </w:r>
            <w:r w:rsidR="00E445FF">
              <w:rPr>
                <w:rFonts w:ascii="Times New Roman" w:eastAsia="標楷體" w:hAnsi="Times New Roman" w:cs="Times New Roman" w:hint="eastAsia"/>
                <w:szCs w:val="24"/>
              </w:rPr>
              <w:t>成人</w:t>
            </w:r>
            <w:proofErr w:type="gramStart"/>
            <w:r w:rsidR="00D37BFB">
              <w:rPr>
                <w:rFonts w:ascii="Times New Roman" w:eastAsia="標楷體" w:hAnsi="Times New Roman" w:cs="Times New Roman" w:hint="eastAsia"/>
                <w:szCs w:val="24"/>
              </w:rPr>
              <w:t>治療</w:t>
            </w:r>
            <w:r w:rsidR="00260925">
              <w:rPr>
                <w:rFonts w:ascii="Times New Roman" w:eastAsia="標楷體" w:hAnsi="Times New Roman" w:cs="Times New Roman" w:hint="eastAsia"/>
                <w:szCs w:val="24"/>
              </w:rPr>
              <w:t>骨巨細</w:t>
            </w:r>
            <w:proofErr w:type="gramEnd"/>
            <w:r w:rsidR="00260925">
              <w:rPr>
                <w:rFonts w:ascii="Times New Roman" w:eastAsia="標楷體" w:hAnsi="Times New Roman" w:cs="Times New Roman" w:hint="eastAsia"/>
                <w:szCs w:val="24"/>
              </w:rPr>
              <w:t>胞瘤</w:t>
            </w:r>
            <w:r w:rsidR="005B7A2E">
              <w:rPr>
                <w:rFonts w:ascii="Times New Roman" w:eastAsia="標楷體" w:hAnsi="Times New Roman" w:cs="Times New Roman" w:hint="eastAsia"/>
                <w:szCs w:val="24"/>
              </w:rPr>
              <w:t>時</w:t>
            </w:r>
            <w:r w:rsidR="003B0E68">
              <w:rPr>
                <w:rFonts w:ascii="Times New Roman" w:eastAsia="標楷體" w:hAnsi="Times New Roman" w:cs="Times New Roman" w:hint="eastAsia"/>
                <w:szCs w:val="24"/>
              </w:rPr>
              <w:t>，</w:t>
            </w:r>
            <w:r w:rsidR="005B7A2E">
              <w:rPr>
                <w:rFonts w:ascii="Times New Roman" w:eastAsia="標楷體" w:hAnsi="Times New Roman" w:cs="Times New Roman" w:hint="eastAsia"/>
                <w:szCs w:val="24"/>
              </w:rPr>
              <w:t>可能</w:t>
            </w:r>
            <w:r w:rsidR="00CD3FFC">
              <w:rPr>
                <w:rFonts w:ascii="Times New Roman" w:eastAsia="標楷體" w:hAnsi="Times New Roman" w:cs="Times New Roman" w:hint="eastAsia"/>
                <w:szCs w:val="24"/>
              </w:rPr>
              <w:t>於停藥後</w:t>
            </w:r>
            <w:r w:rsidR="005B7A2E">
              <w:rPr>
                <w:rFonts w:ascii="Times New Roman" w:eastAsia="標楷體" w:hAnsi="Times New Roman" w:cs="Times New Roman" w:hint="eastAsia"/>
                <w:szCs w:val="24"/>
              </w:rPr>
              <w:t>發生具臨床意義之高</w:t>
            </w:r>
            <w:proofErr w:type="gramStart"/>
            <w:r w:rsidR="005B7A2E">
              <w:rPr>
                <w:rFonts w:ascii="Times New Roman" w:eastAsia="標楷體" w:hAnsi="Times New Roman" w:cs="Times New Roman" w:hint="eastAsia"/>
                <w:szCs w:val="24"/>
              </w:rPr>
              <w:t>血鈣</w:t>
            </w:r>
            <w:proofErr w:type="gramEnd"/>
            <w:r w:rsidR="005B7A2E">
              <w:rPr>
                <w:rFonts w:ascii="Times New Roman" w:eastAsia="標楷體" w:hAnsi="Times New Roman" w:cs="Times New Roman" w:hint="eastAsia"/>
                <w:szCs w:val="24"/>
              </w:rPr>
              <w:t>症</w:t>
            </w:r>
            <w:r w:rsidR="00CD3FFC">
              <w:rPr>
                <w:rFonts w:ascii="Times New Roman" w:eastAsia="標楷體" w:hAnsi="Times New Roman" w:cs="Times New Roman" w:hint="eastAsia"/>
                <w:szCs w:val="24"/>
              </w:rPr>
              <w:t>（</w:t>
            </w:r>
            <w:r w:rsidR="005B7A2E">
              <w:rPr>
                <w:rFonts w:ascii="Times New Roman" w:eastAsia="標楷體" w:hAnsi="Times New Roman" w:cs="Times New Roman" w:hint="eastAsia"/>
                <w:szCs w:val="24"/>
              </w:rPr>
              <w:t>反彈性高血鈣</w:t>
            </w:r>
            <w:r w:rsidR="00CD3FFC">
              <w:rPr>
                <w:rFonts w:ascii="Times New Roman" w:eastAsia="標楷體" w:hAnsi="Times New Roman" w:cs="Times New Roman" w:hint="eastAsia"/>
                <w:szCs w:val="24"/>
              </w:rPr>
              <w:t>）</w:t>
            </w:r>
            <w:r w:rsidR="00E445FF">
              <w:rPr>
                <w:rFonts w:ascii="Times New Roman" w:eastAsia="標楷體" w:hAnsi="Times New Roman" w:cs="Times New Roman" w:hint="eastAsia"/>
                <w:szCs w:val="24"/>
              </w:rPr>
              <w:t>。而</w:t>
            </w:r>
            <w:r w:rsidR="005B7A2E">
              <w:rPr>
                <w:rFonts w:ascii="Times New Roman" w:eastAsia="標楷體" w:hAnsi="Times New Roman" w:cs="Times New Roman" w:hint="eastAsia"/>
                <w:szCs w:val="24"/>
              </w:rPr>
              <w:t>骨骼正在</w:t>
            </w:r>
            <w:r w:rsidR="00F5697A">
              <w:rPr>
                <w:rFonts w:ascii="Times New Roman" w:eastAsia="標楷體" w:hAnsi="Times New Roman" w:cs="Times New Roman" w:hint="eastAsia"/>
                <w:szCs w:val="24"/>
              </w:rPr>
              <w:t>生</w:t>
            </w:r>
            <w:r w:rsidR="005B7A2E">
              <w:rPr>
                <w:rFonts w:ascii="Times New Roman" w:eastAsia="標楷體" w:hAnsi="Times New Roman" w:cs="Times New Roman" w:hint="eastAsia"/>
                <w:szCs w:val="24"/>
              </w:rPr>
              <w:t>長的病人使用</w:t>
            </w:r>
            <w:proofErr w:type="spellStart"/>
            <w:r w:rsidR="005B7A2E" w:rsidRPr="001932BF">
              <w:rPr>
                <w:rFonts w:ascii="Times New Roman" w:eastAsia="標楷體" w:hAnsi="Times New Roman" w:cs="Times New Roman"/>
                <w:szCs w:val="24"/>
              </w:rPr>
              <w:t>Xgeva</w:t>
            </w:r>
            <w:proofErr w:type="spellEnd"/>
            <w:r w:rsidR="005B7A2E" w:rsidRPr="00A301CF">
              <w:rPr>
                <w:rFonts w:ascii="Times New Roman" w:eastAsia="標楷體" w:hAnsi="Times New Roman" w:cs="Times New Roman"/>
                <w:szCs w:val="24"/>
                <w:vertAlign w:val="superscript"/>
              </w:rPr>
              <w:t>®</w:t>
            </w:r>
            <w:r w:rsidR="005B7A2E">
              <w:rPr>
                <w:rFonts w:ascii="Times New Roman" w:eastAsia="標楷體" w:hAnsi="Times New Roman" w:cs="Times New Roman" w:hint="eastAsia"/>
                <w:szCs w:val="24"/>
              </w:rPr>
              <w:t>，</w:t>
            </w:r>
            <w:r w:rsidR="00F5697A">
              <w:rPr>
                <w:rFonts w:ascii="Times New Roman" w:eastAsia="標楷體" w:hAnsi="Times New Roman" w:cs="Times New Roman" w:hint="eastAsia"/>
                <w:szCs w:val="24"/>
              </w:rPr>
              <w:t>亦曾有於</w:t>
            </w:r>
            <w:r w:rsidR="005B7A2E">
              <w:rPr>
                <w:rFonts w:ascii="Times New Roman" w:eastAsia="標楷體" w:hAnsi="Times New Roman" w:cs="Times New Roman" w:hint="eastAsia"/>
                <w:szCs w:val="24"/>
              </w:rPr>
              <w:t>停藥後</w:t>
            </w:r>
            <w:r w:rsidR="00E445FF">
              <w:rPr>
                <w:rFonts w:ascii="Times New Roman" w:eastAsia="標楷體" w:hAnsi="Times New Roman" w:cs="Times New Roman" w:hint="eastAsia"/>
                <w:szCs w:val="24"/>
              </w:rPr>
              <w:t>發生具</w:t>
            </w:r>
            <w:r w:rsidR="005B7A2E">
              <w:rPr>
                <w:rFonts w:ascii="Times New Roman" w:eastAsia="標楷體" w:hAnsi="Times New Roman" w:cs="Times New Roman" w:hint="eastAsia"/>
                <w:szCs w:val="24"/>
              </w:rPr>
              <w:t>臨床意義之高血鈣</w:t>
            </w:r>
            <w:r w:rsidR="00F5697A">
              <w:rPr>
                <w:rFonts w:ascii="Times New Roman" w:eastAsia="標楷體" w:hAnsi="Times New Roman" w:cs="Times New Roman" w:hint="eastAsia"/>
                <w:szCs w:val="24"/>
              </w:rPr>
              <w:t>案例報告</w:t>
            </w:r>
            <w:r w:rsidR="005B7A2E">
              <w:rPr>
                <w:rFonts w:ascii="Times New Roman" w:eastAsia="標楷體" w:hAnsi="Times New Roman" w:cs="Times New Roman" w:hint="eastAsia"/>
                <w:szCs w:val="24"/>
              </w:rPr>
              <w:t>。</w:t>
            </w:r>
          </w:p>
        </w:tc>
      </w:tr>
      <w:tr w:rsidR="00016247" w:rsidRPr="00147E19" w14:paraId="041D84EE" w14:textId="77777777" w:rsidTr="00E445FF">
        <w:trPr>
          <w:trHeight w:val="896"/>
          <w:jc w:val="center"/>
        </w:trPr>
        <w:tc>
          <w:tcPr>
            <w:tcW w:w="1988" w:type="dxa"/>
            <w:vAlign w:val="center"/>
          </w:tcPr>
          <w:p w14:paraId="25089563" w14:textId="77777777" w:rsidR="00016247" w:rsidRDefault="00016247" w:rsidP="00707B8C">
            <w:pPr>
              <w:jc w:val="center"/>
              <w:rPr>
                <w:rFonts w:ascii="Times New Roman" w:eastAsia="標楷體" w:hAnsi="Times New Roman" w:cs="Times New Roman"/>
                <w:szCs w:val="24"/>
              </w:rPr>
            </w:pPr>
            <w:r>
              <w:rPr>
                <w:rFonts w:ascii="Times New Roman" w:eastAsia="標楷體" w:hAnsi="Times New Roman" w:cs="Times New Roman" w:hint="eastAsia"/>
                <w:szCs w:val="24"/>
              </w:rPr>
              <w:t>食品藥物管理署</w:t>
            </w:r>
          </w:p>
          <w:p w14:paraId="17257BE2" w14:textId="2D3C40CF" w:rsidR="00016247" w:rsidRPr="00147E19" w:rsidRDefault="00016247" w:rsidP="00707B8C">
            <w:pPr>
              <w:jc w:val="center"/>
              <w:rPr>
                <w:rFonts w:ascii="Times New Roman" w:eastAsia="標楷體" w:hAnsi="Times New Roman" w:cs="Times New Roman"/>
                <w:szCs w:val="24"/>
              </w:rPr>
            </w:pPr>
            <w:r>
              <w:rPr>
                <w:rFonts w:ascii="Times New Roman" w:eastAsia="標楷體" w:hAnsi="Times New Roman" w:cs="Times New Roman" w:hint="eastAsia"/>
                <w:szCs w:val="24"/>
              </w:rPr>
              <w:t>風險溝通說明</w:t>
            </w:r>
          </w:p>
        </w:tc>
        <w:tc>
          <w:tcPr>
            <w:tcW w:w="7741" w:type="dxa"/>
          </w:tcPr>
          <w:p w14:paraId="414A42A5" w14:textId="77777777" w:rsidR="00016247" w:rsidRPr="00016247" w:rsidRDefault="00016247" w:rsidP="00016247">
            <w:pPr>
              <w:widowControl/>
              <w:numPr>
                <w:ilvl w:val="0"/>
                <w:numId w:val="13"/>
              </w:numPr>
              <w:shd w:val="clear" w:color="auto" w:fill="FFFFFF"/>
              <w:spacing w:line="400" w:lineRule="exact"/>
              <w:jc w:val="both"/>
              <w:rPr>
                <w:rFonts w:ascii="Times New Roman" w:eastAsia="標楷體" w:hAnsi="Times New Roman" w:cs="Times New Roman"/>
                <w:b/>
                <w:kern w:val="0"/>
                <w:szCs w:val="24"/>
                <w:u w:val="single"/>
              </w:rPr>
            </w:pPr>
            <w:r w:rsidRPr="00016247">
              <w:rPr>
                <w:rFonts w:ascii="Times New Roman" w:eastAsia="標楷體" w:hAnsi="Times New Roman" w:cs="Times New Roman" w:hint="eastAsia"/>
                <w:b/>
                <w:kern w:val="0"/>
                <w:szCs w:val="24"/>
                <w:u w:val="single"/>
              </w:rPr>
              <w:t>食品藥物管理署說明：</w:t>
            </w:r>
          </w:p>
          <w:p w14:paraId="3A22C98A" w14:textId="58372AB8" w:rsidR="00016247" w:rsidRPr="00016247" w:rsidRDefault="00016247" w:rsidP="00016247">
            <w:pPr>
              <w:pStyle w:val="aa"/>
              <w:widowControl/>
              <w:numPr>
                <w:ilvl w:val="0"/>
                <w:numId w:val="14"/>
              </w:numPr>
              <w:shd w:val="clear" w:color="auto" w:fill="FFFFFF"/>
              <w:ind w:leftChars="0" w:left="504" w:hanging="504"/>
              <w:jc w:val="both"/>
              <w:rPr>
                <w:rFonts w:ascii="Times New Roman" w:eastAsia="標楷體" w:hAnsi="Times New Roman" w:cs="Times New Roman"/>
                <w:kern w:val="0"/>
                <w:szCs w:val="24"/>
              </w:rPr>
            </w:pPr>
            <w:r w:rsidRPr="00016247">
              <w:rPr>
                <w:rFonts w:ascii="Times New Roman" w:eastAsia="標楷體" w:hAnsi="Times New Roman" w:cs="Times New Roman" w:hint="eastAsia"/>
                <w:color w:val="000000" w:themeColor="text1"/>
                <w:kern w:val="0"/>
                <w:szCs w:val="24"/>
              </w:rPr>
              <w:t>經查，我國核准</w:t>
            </w:r>
            <w:r w:rsidR="00345054" w:rsidRPr="00345054">
              <w:rPr>
                <w:rFonts w:ascii="Times New Roman" w:eastAsia="標楷體" w:hAnsi="Times New Roman" w:cs="Times New Roman"/>
                <w:color w:val="000000" w:themeColor="text1"/>
                <w:kern w:val="0"/>
                <w:szCs w:val="24"/>
              </w:rPr>
              <w:t>Prolia</w:t>
            </w:r>
            <w:r w:rsidR="00345054" w:rsidRPr="00C519CC">
              <w:rPr>
                <w:rFonts w:ascii="Times New Roman" w:eastAsia="標楷體" w:hAnsi="Times New Roman" w:cs="Times New Roman"/>
                <w:color w:val="000000" w:themeColor="text1"/>
                <w:kern w:val="0"/>
                <w:szCs w:val="24"/>
                <w:vertAlign w:val="superscript"/>
              </w:rPr>
              <w:t>®</w:t>
            </w:r>
            <w:r w:rsidR="00345054" w:rsidRPr="00345054">
              <w:rPr>
                <w:rFonts w:ascii="Times New Roman" w:eastAsia="標楷體" w:hAnsi="Times New Roman" w:cs="Times New Roman"/>
                <w:color w:val="000000" w:themeColor="text1"/>
                <w:kern w:val="0"/>
                <w:szCs w:val="24"/>
              </w:rPr>
              <w:t>(denosumab 60mg)</w:t>
            </w:r>
            <w:r w:rsidR="001A637A">
              <w:rPr>
                <w:rFonts w:ascii="Times New Roman" w:eastAsia="標楷體" w:hAnsi="Times New Roman" w:cs="Times New Roman" w:hint="eastAsia"/>
                <w:color w:val="000000" w:themeColor="text1"/>
                <w:kern w:val="0"/>
                <w:szCs w:val="24"/>
              </w:rPr>
              <w:t xml:space="preserve"> </w:t>
            </w:r>
            <w:r w:rsidRPr="00016247">
              <w:rPr>
                <w:rFonts w:ascii="Times New Roman" w:eastAsia="標楷體" w:hAnsi="Times New Roman" w:cs="Times New Roman" w:hint="eastAsia"/>
                <w:color w:val="000000" w:themeColor="text1"/>
                <w:kern w:val="0"/>
                <w:szCs w:val="24"/>
              </w:rPr>
              <w:t>藥品許可證共</w:t>
            </w:r>
            <w:r w:rsidRPr="00016247">
              <w:rPr>
                <w:rFonts w:ascii="Times New Roman" w:eastAsia="標楷體" w:hAnsi="Times New Roman" w:cs="Times New Roman" w:hint="eastAsia"/>
                <w:color w:val="000000" w:themeColor="text1"/>
                <w:kern w:val="0"/>
                <w:szCs w:val="24"/>
              </w:rPr>
              <w:t>1</w:t>
            </w:r>
            <w:r w:rsidRPr="00016247">
              <w:rPr>
                <w:rFonts w:ascii="Times New Roman" w:eastAsia="標楷體" w:hAnsi="Times New Roman" w:cs="Times New Roman" w:hint="eastAsia"/>
                <w:color w:val="000000" w:themeColor="text1"/>
                <w:kern w:val="0"/>
                <w:szCs w:val="24"/>
              </w:rPr>
              <w:t>張，其中文仿單於「特殊族群之使用</w:t>
            </w:r>
            <w:r w:rsidRPr="00016247">
              <w:rPr>
                <w:rFonts w:ascii="Times New Roman" w:eastAsia="標楷體" w:hAnsi="Times New Roman" w:cs="Times New Roman" w:hint="eastAsia"/>
                <w:color w:val="000000" w:themeColor="text1"/>
                <w:kern w:val="0"/>
                <w:szCs w:val="24"/>
              </w:rPr>
              <w:t>-</w:t>
            </w:r>
            <w:r w:rsidRPr="00016247">
              <w:rPr>
                <w:rFonts w:ascii="Times New Roman" w:eastAsia="標楷體" w:hAnsi="Times New Roman" w:cs="Times New Roman" w:hint="eastAsia"/>
                <w:color w:val="000000" w:themeColor="text1"/>
                <w:kern w:val="0"/>
                <w:szCs w:val="24"/>
              </w:rPr>
              <w:t>兒童之使用」段落刊載「</w:t>
            </w:r>
            <w:r w:rsidRPr="00723163">
              <w:rPr>
                <w:rFonts w:ascii="Times New Roman" w:eastAsia="標楷體" w:hAnsi="Times New Roman" w:cs="Times New Roman" w:hint="eastAsia"/>
                <w:b/>
                <w:color w:val="000000" w:themeColor="text1"/>
                <w:kern w:val="0"/>
                <w:szCs w:val="24"/>
              </w:rPr>
              <w:t xml:space="preserve">Prolia </w:t>
            </w:r>
            <w:r w:rsidRPr="00723163">
              <w:rPr>
                <w:rFonts w:ascii="Times New Roman" w:eastAsia="標楷體" w:hAnsi="Times New Roman" w:cs="Times New Roman" w:hint="eastAsia"/>
                <w:b/>
                <w:color w:val="000000" w:themeColor="text1"/>
                <w:kern w:val="0"/>
                <w:szCs w:val="24"/>
              </w:rPr>
              <w:t>並不建議用於年齡小於</w:t>
            </w:r>
            <w:r w:rsidRPr="00723163">
              <w:rPr>
                <w:rFonts w:ascii="Times New Roman" w:eastAsia="標楷體" w:hAnsi="Times New Roman" w:cs="Times New Roman" w:hint="eastAsia"/>
                <w:b/>
                <w:color w:val="000000" w:themeColor="text1"/>
                <w:kern w:val="0"/>
                <w:szCs w:val="24"/>
              </w:rPr>
              <w:t xml:space="preserve"> 4 </w:t>
            </w:r>
            <w:r w:rsidRPr="00723163">
              <w:rPr>
                <w:rFonts w:ascii="Times New Roman" w:eastAsia="標楷體" w:hAnsi="Times New Roman" w:cs="Times New Roman" w:hint="eastAsia"/>
                <w:b/>
                <w:color w:val="000000" w:themeColor="text1"/>
                <w:kern w:val="0"/>
                <w:szCs w:val="24"/>
              </w:rPr>
              <w:t>歲的小兒病人</w:t>
            </w:r>
            <w:r w:rsidRPr="00016247">
              <w:rPr>
                <w:rFonts w:ascii="Times New Roman" w:eastAsia="標楷體" w:hAnsi="Times New Roman" w:cs="Times New Roman" w:hint="eastAsia"/>
                <w:color w:val="000000" w:themeColor="text1"/>
                <w:kern w:val="0"/>
                <w:szCs w:val="24"/>
              </w:rPr>
              <w:t>，因為其骨骼生長快速，且</w:t>
            </w:r>
            <w:r w:rsidRPr="00016247">
              <w:rPr>
                <w:rFonts w:ascii="Times New Roman" w:eastAsia="標楷體" w:hAnsi="Times New Roman" w:cs="Times New Roman" w:hint="eastAsia"/>
                <w:color w:val="000000" w:themeColor="text1"/>
                <w:kern w:val="0"/>
                <w:szCs w:val="24"/>
              </w:rPr>
              <w:t xml:space="preserve"> Prolia </w:t>
            </w:r>
            <w:r w:rsidRPr="00016247">
              <w:rPr>
                <w:rFonts w:ascii="Times New Roman" w:eastAsia="標楷體" w:hAnsi="Times New Roman" w:cs="Times New Roman" w:hint="eastAsia"/>
                <w:color w:val="000000" w:themeColor="text1"/>
                <w:kern w:val="0"/>
                <w:szCs w:val="24"/>
              </w:rPr>
              <w:t>可能</w:t>
            </w:r>
            <w:proofErr w:type="gramStart"/>
            <w:r w:rsidRPr="00016247">
              <w:rPr>
                <w:rFonts w:ascii="Times New Roman" w:eastAsia="標楷體" w:hAnsi="Times New Roman" w:cs="Times New Roman" w:hint="eastAsia"/>
                <w:color w:val="000000" w:themeColor="text1"/>
                <w:kern w:val="0"/>
                <w:szCs w:val="24"/>
              </w:rPr>
              <w:t>會對齒列</w:t>
            </w:r>
            <w:proofErr w:type="gramEnd"/>
            <w:r w:rsidRPr="00016247">
              <w:rPr>
                <w:rFonts w:ascii="Times New Roman" w:eastAsia="標楷體" w:hAnsi="Times New Roman" w:cs="Times New Roman" w:hint="eastAsia"/>
                <w:color w:val="000000" w:themeColor="text1"/>
                <w:kern w:val="0"/>
                <w:szCs w:val="24"/>
              </w:rPr>
              <w:t>及長骨生長具有不良影響」、「</w:t>
            </w:r>
            <w:r w:rsidRPr="00016247">
              <w:rPr>
                <w:rFonts w:ascii="Times New Roman" w:eastAsia="標楷體" w:hAnsi="Times New Roman" w:cs="Times New Roman" w:hint="eastAsia"/>
                <w:color w:val="000000" w:themeColor="text1"/>
                <w:kern w:val="0"/>
                <w:szCs w:val="24"/>
              </w:rPr>
              <w:t xml:space="preserve">Prolia </w:t>
            </w:r>
            <w:r w:rsidRPr="00016247">
              <w:rPr>
                <w:rFonts w:ascii="Times New Roman" w:eastAsia="標楷體" w:hAnsi="Times New Roman" w:cs="Times New Roman" w:hint="eastAsia"/>
                <w:color w:val="000000" w:themeColor="text1"/>
                <w:kern w:val="0"/>
                <w:szCs w:val="24"/>
              </w:rPr>
              <w:t>在小兒病人中的安全性及有效性尚未確立。使用</w:t>
            </w:r>
            <w:r w:rsidRPr="00016247">
              <w:rPr>
                <w:rFonts w:ascii="Times New Roman" w:eastAsia="標楷體" w:hAnsi="Times New Roman" w:cs="Times New Roman" w:hint="eastAsia"/>
                <w:color w:val="000000" w:themeColor="text1"/>
                <w:kern w:val="0"/>
                <w:szCs w:val="24"/>
              </w:rPr>
              <w:t xml:space="preserve"> Prolia </w:t>
            </w:r>
            <w:r w:rsidRPr="00016247">
              <w:rPr>
                <w:rFonts w:ascii="Times New Roman" w:eastAsia="標楷體" w:hAnsi="Times New Roman" w:cs="Times New Roman" w:hint="eastAsia"/>
                <w:color w:val="000000" w:themeColor="text1"/>
                <w:kern w:val="0"/>
                <w:szCs w:val="24"/>
              </w:rPr>
              <w:t>治療可能會影響生長板尚未閉合之兒童的骨骼生長，也可能會</w:t>
            </w:r>
            <w:proofErr w:type="gramStart"/>
            <w:r w:rsidRPr="00016247">
              <w:rPr>
                <w:rFonts w:ascii="Times New Roman" w:eastAsia="標楷體" w:hAnsi="Times New Roman" w:cs="Times New Roman" w:hint="eastAsia"/>
                <w:color w:val="000000" w:themeColor="text1"/>
                <w:kern w:val="0"/>
                <w:szCs w:val="24"/>
              </w:rPr>
              <w:t>抑制齒</w:t>
            </w:r>
            <w:proofErr w:type="gramEnd"/>
            <w:r w:rsidRPr="00016247">
              <w:rPr>
                <w:rFonts w:ascii="Times New Roman" w:eastAsia="標楷體" w:hAnsi="Times New Roman" w:cs="Times New Roman" w:hint="eastAsia"/>
                <w:color w:val="000000" w:themeColor="text1"/>
                <w:kern w:val="0"/>
                <w:szCs w:val="24"/>
              </w:rPr>
              <w:t>列生長」等安全資訊，</w:t>
            </w:r>
            <w:r w:rsidRPr="00723163">
              <w:rPr>
                <w:rFonts w:ascii="Times New Roman" w:eastAsia="標楷體" w:hAnsi="Times New Roman" w:cs="Times New Roman" w:hint="eastAsia"/>
                <w:b/>
                <w:color w:val="000000" w:themeColor="text1"/>
                <w:kern w:val="0"/>
                <w:szCs w:val="24"/>
                <w:u w:val="single"/>
              </w:rPr>
              <w:t>惟未刊載</w:t>
            </w:r>
            <w:r w:rsidRPr="00723163">
              <w:rPr>
                <w:rFonts w:ascii="Times New Roman" w:eastAsia="標楷體" w:hAnsi="Times New Roman" w:cs="Times New Roman" w:hint="eastAsia"/>
                <w:b/>
                <w:color w:val="000000" w:themeColor="text1"/>
                <w:kern w:val="0"/>
                <w:szCs w:val="24"/>
                <w:u w:val="single"/>
              </w:rPr>
              <w:t>18</w:t>
            </w:r>
            <w:r w:rsidRPr="00723163">
              <w:rPr>
                <w:rFonts w:ascii="Times New Roman" w:eastAsia="標楷體" w:hAnsi="Times New Roman" w:cs="Times New Roman" w:hint="eastAsia"/>
                <w:b/>
                <w:color w:val="000000" w:themeColor="text1"/>
                <w:kern w:val="0"/>
                <w:szCs w:val="24"/>
                <w:u w:val="single"/>
              </w:rPr>
              <w:t>歲以下族群使用該藥品之高血鈣風險相關安全資訊</w:t>
            </w:r>
            <w:r>
              <w:rPr>
                <w:rFonts w:ascii="Times New Roman" w:eastAsia="標楷體" w:hAnsi="Times New Roman" w:cs="Times New Roman" w:hint="eastAsia"/>
                <w:color w:val="000000" w:themeColor="text1"/>
                <w:kern w:val="0"/>
                <w:szCs w:val="24"/>
              </w:rPr>
              <w:t>。</w:t>
            </w:r>
          </w:p>
          <w:p w14:paraId="1BA0D7EA" w14:textId="77777777" w:rsidR="00016247" w:rsidRDefault="00016247" w:rsidP="00016247">
            <w:pPr>
              <w:pStyle w:val="aa"/>
              <w:widowControl/>
              <w:numPr>
                <w:ilvl w:val="0"/>
                <w:numId w:val="14"/>
              </w:numPr>
              <w:shd w:val="clear" w:color="auto" w:fill="FFFFFF"/>
              <w:ind w:leftChars="0" w:left="504" w:hanging="504"/>
              <w:jc w:val="both"/>
              <w:rPr>
                <w:rFonts w:ascii="Times New Roman" w:eastAsia="標楷體" w:hAnsi="Times New Roman" w:cs="Times New Roman"/>
                <w:kern w:val="0"/>
                <w:szCs w:val="24"/>
              </w:rPr>
            </w:pPr>
            <w:proofErr w:type="gramStart"/>
            <w:r w:rsidRPr="00016247">
              <w:rPr>
                <w:rFonts w:ascii="Times New Roman" w:eastAsia="標楷體" w:hAnsi="Times New Roman" w:cs="Times New Roman" w:hint="eastAsia"/>
                <w:kern w:val="0"/>
                <w:szCs w:val="24"/>
              </w:rPr>
              <w:t>本署現</w:t>
            </w:r>
            <w:proofErr w:type="gramEnd"/>
            <w:r w:rsidRPr="00016247">
              <w:rPr>
                <w:rFonts w:ascii="Times New Roman" w:eastAsia="標楷體" w:hAnsi="Times New Roman" w:cs="Times New Roman" w:hint="eastAsia"/>
                <w:kern w:val="0"/>
                <w:szCs w:val="24"/>
              </w:rPr>
              <w:t>正評估是否針對該藥品採取進一步風險管控措施。</w:t>
            </w:r>
          </w:p>
          <w:p w14:paraId="0E06ED8E" w14:textId="77777777" w:rsidR="00016247" w:rsidRDefault="00016247" w:rsidP="00016247">
            <w:pPr>
              <w:widowControl/>
              <w:shd w:val="clear" w:color="auto" w:fill="FFFFFF"/>
              <w:jc w:val="both"/>
              <w:rPr>
                <w:rFonts w:ascii="Times New Roman" w:eastAsia="標楷體" w:hAnsi="Times New Roman" w:cs="Times New Roman"/>
                <w:kern w:val="0"/>
                <w:szCs w:val="24"/>
              </w:rPr>
            </w:pPr>
          </w:p>
          <w:p w14:paraId="4E65BB58" w14:textId="6D3CDEC8" w:rsidR="00723163" w:rsidRPr="00723163" w:rsidRDefault="00016247" w:rsidP="00723163">
            <w:pPr>
              <w:widowControl/>
              <w:numPr>
                <w:ilvl w:val="0"/>
                <w:numId w:val="13"/>
              </w:numPr>
              <w:shd w:val="clear" w:color="auto" w:fill="FFFFFF"/>
              <w:spacing w:line="400" w:lineRule="exact"/>
              <w:jc w:val="both"/>
              <w:rPr>
                <w:rFonts w:ascii="Times New Roman" w:eastAsia="標楷體" w:hAnsi="Times New Roman" w:cs="Times New Roman"/>
                <w:b/>
                <w:kern w:val="0"/>
                <w:szCs w:val="24"/>
                <w:u w:val="words" w:color="FFFFFF"/>
              </w:rPr>
            </w:pPr>
            <w:r w:rsidRPr="00016247">
              <w:rPr>
                <w:rFonts w:ascii="Times New Roman" w:eastAsia="標楷體" w:hAnsi="Times New Roman" w:cs="Times New Roman"/>
                <w:b/>
                <w:bCs/>
                <w:kern w:val="0"/>
                <w:szCs w:val="24"/>
                <w:u w:val="single"/>
              </w:rPr>
              <w:t>醫療人員</w:t>
            </w:r>
            <w:r w:rsidRPr="00016247">
              <w:rPr>
                <w:rFonts w:ascii="Times New Roman" w:eastAsia="標楷體" w:hAnsi="Times New Roman" w:cs="Times New Roman"/>
                <w:b/>
                <w:kern w:val="0"/>
                <w:szCs w:val="24"/>
                <w:u w:val="words" w:color="FFFFFF"/>
              </w:rPr>
              <w:t>應注意事項：</w:t>
            </w:r>
          </w:p>
          <w:p w14:paraId="30E29C61" w14:textId="41C740B5" w:rsidR="00723163" w:rsidRDefault="00723163" w:rsidP="00723163">
            <w:pPr>
              <w:pStyle w:val="aa"/>
              <w:widowControl/>
              <w:numPr>
                <w:ilvl w:val="0"/>
                <w:numId w:val="16"/>
              </w:numPr>
              <w:shd w:val="clear" w:color="auto" w:fill="FFFFFF"/>
              <w:ind w:leftChars="0" w:left="504" w:hanging="504"/>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color w:val="000000" w:themeColor="text1"/>
                <w:kern w:val="0"/>
                <w:szCs w:val="24"/>
              </w:rPr>
              <w:t>在臨床試驗及適應症外使用經驗中，曾</w:t>
            </w:r>
            <w:r w:rsidR="001A637A">
              <w:rPr>
                <w:rFonts w:ascii="Times New Roman" w:eastAsia="標楷體" w:hAnsi="Times New Roman" w:cs="Times New Roman" w:hint="eastAsia"/>
                <w:color w:val="000000" w:themeColor="text1"/>
                <w:kern w:val="0"/>
                <w:szCs w:val="24"/>
              </w:rPr>
              <w:t>有</w:t>
            </w:r>
            <w:r w:rsidRPr="00723163">
              <w:rPr>
                <w:rFonts w:ascii="Times New Roman" w:eastAsia="標楷體" w:hAnsi="Times New Roman" w:cs="Times New Roman" w:hint="eastAsia"/>
                <w:color w:val="000000" w:themeColor="text1"/>
                <w:kern w:val="0"/>
                <w:szCs w:val="24"/>
              </w:rPr>
              <w:t>接獲</w:t>
            </w:r>
            <w:r w:rsidR="001A637A" w:rsidRPr="00723163">
              <w:rPr>
                <w:rFonts w:ascii="Times New Roman" w:eastAsia="標楷體" w:hAnsi="Times New Roman" w:cs="Times New Roman" w:hint="eastAsia"/>
                <w:color w:val="000000" w:themeColor="text1"/>
                <w:kern w:val="0"/>
                <w:szCs w:val="24"/>
              </w:rPr>
              <w:t>兒童</w:t>
            </w:r>
            <w:r w:rsidR="001A637A">
              <w:rPr>
                <w:rFonts w:ascii="Times New Roman" w:eastAsia="標楷體" w:hAnsi="Times New Roman" w:cs="Times New Roman" w:hint="eastAsia"/>
                <w:color w:val="000000" w:themeColor="text1"/>
                <w:kern w:val="0"/>
                <w:szCs w:val="24"/>
              </w:rPr>
              <w:t>及</w:t>
            </w:r>
            <w:r w:rsidR="001A637A" w:rsidRPr="00723163">
              <w:rPr>
                <w:rFonts w:ascii="Times New Roman" w:eastAsia="標楷體" w:hAnsi="Times New Roman" w:cs="Times New Roman" w:hint="eastAsia"/>
                <w:color w:val="000000" w:themeColor="text1"/>
                <w:kern w:val="0"/>
                <w:szCs w:val="24"/>
              </w:rPr>
              <w:t>青少年病人</w:t>
            </w:r>
            <w:r w:rsidRPr="00723163">
              <w:rPr>
                <w:rFonts w:ascii="Times New Roman" w:eastAsia="標楷體" w:hAnsi="Times New Roman" w:cs="Times New Roman" w:hint="eastAsia"/>
                <w:color w:val="000000" w:themeColor="text1"/>
                <w:kern w:val="0"/>
                <w:szCs w:val="24"/>
              </w:rPr>
              <w:t>使用</w:t>
            </w:r>
            <w:r w:rsidR="00345054" w:rsidRPr="00345054">
              <w:rPr>
                <w:rFonts w:ascii="Times New Roman" w:eastAsia="標楷體" w:hAnsi="Times New Roman" w:cs="Times New Roman"/>
                <w:color w:val="000000" w:themeColor="text1"/>
                <w:kern w:val="0"/>
                <w:szCs w:val="24"/>
              </w:rPr>
              <w:t>Prolia</w:t>
            </w:r>
            <w:r w:rsidR="00345054" w:rsidRPr="00C519CC">
              <w:rPr>
                <w:rFonts w:ascii="Times New Roman" w:eastAsia="標楷體" w:hAnsi="Times New Roman" w:cs="Times New Roman"/>
                <w:color w:val="000000" w:themeColor="text1"/>
                <w:kern w:val="0"/>
                <w:szCs w:val="24"/>
                <w:vertAlign w:val="superscript"/>
              </w:rPr>
              <w:t>®</w:t>
            </w:r>
            <w:r w:rsidR="00345054" w:rsidRPr="00345054">
              <w:rPr>
                <w:rFonts w:ascii="Times New Roman" w:eastAsia="標楷體" w:hAnsi="Times New Roman" w:cs="Times New Roman"/>
                <w:color w:val="000000" w:themeColor="text1"/>
                <w:kern w:val="0"/>
                <w:szCs w:val="24"/>
              </w:rPr>
              <w:t>(denosumab 60mg)</w:t>
            </w:r>
            <w:r w:rsidR="001A637A">
              <w:rPr>
                <w:rFonts w:ascii="Times New Roman" w:eastAsia="標楷體" w:hAnsi="Times New Roman" w:cs="Times New Roman" w:hint="eastAsia"/>
                <w:color w:val="000000" w:themeColor="text1"/>
                <w:kern w:val="0"/>
                <w:szCs w:val="24"/>
              </w:rPr>
              <w:t xml:space="preserve"> </w:t>
            </w:r>
            <w:r w:rsidRPr="00723163">
              <w:rPr>
                <w:rFonts w:ascii="Times New Roman" w:eastAsia="標楷體" w:hAnsi="Times New Roman" w:cs="Times New Roman" w:hint="eastAsia"/>
                <w:color w:val="000000" w:themeColor="text1"/>
                <w:kern w:val="0"/>
                <w:szCs w:val="24"/>
              </w:rPr>
              <w:t>發生嚴重且危及生命</w:t>
            </w:r>
            <w:r w:rsidR="001A637A">
              <w:rPr>
                <w:rFonts w:ascii="Times New Roman" w:eastAsia="標楷體" w:hAnsi="Times New Roman" w:cs="Times New Roman" w:hint="eastAsia"/>
                <w:color w:val="000000" w:themeColor="text1"/>
                <w:kern w:val="0"/>
                <w:szCs w:val="24"/>
              </w:rPr>
              <w:t>之</w:t>
            </w:r>
            <w:r w:rsidRPr="00723163">
              <w:rPr>
                <w:rFonts w:ascii="Times New Roman" w:eastAsia="標楷體" w:hAnsi="Times New Roman" w:cs="Times New Roman" w:hint="eastAsia"/>
                <w:color w:val="000000" w:themeColor="text1"/>
                <w:kern w:val="0"/>
                <w:szCs w:val="24"/>
              </w:rPr>
              <w:t>高血鈣通報案例，這些案例發生在</w:t>
            </w:r>
            <w:r w:rsidRPr="00723163">
              <w:rPr>
                <w:rFonts w:ascii="Times New Roman" w:eastAsia="標楷體" w:hAnsi="Times New Roman" w:cs="Times New Roman" w:hint="eastAsia"/>
                <w:color w:val="000000" w:themeColor="text1"/>
                <w:kern w:val="0"/>
                <w:szCs w:val="24"/>
              </w:rPr>
              <w:t>Prolia</w:t>
            </w:r>
            <w:r w:rsidRPr="001A637A">
              <w:rPr>
                <w:rFonts w:ascii="Times New Roman" w:eastAsia="標楷體" w:hAnsi="Times New Roman" w:cs="Times New Roman" w:hint="eastAsia"/>
                <w:color w:val="000000" w:themeColor="text1"/>
                <w:kern w:val="0"/>
                <w:szCs w:val="24"/>
                <w:vertAlign w:val="superscript"/>
              </w:rPr>
              <w:t>®</w:t>
            </w:r>
            <w:r w:rsidRPr="00723163">
              <w:rPr>
                <w:rFonts w:ascii="Times New Roman" w:eastAsia="標楷體" w:hAnsi="Times New Roman" w:cs="Times New Roman" w:hint="eastAsia"/>
                <w:color w:val="000000" w:themeColor="text1"/>
                <w:kern w:val="0"/>
                <w:szCs w:val="24"/>
              </w:rPr>
              <w:t>治療期間或是最後一次給藥後的數</w:t>
            </w:r>
            <w:proofErr w:type="gramStart"/>
            <w:r w:rsidRPr="00723163">
              <w:rPr>
                <w:rFonts w:ascii="Times New Roman" w:eastAsia="標楷體" w:hAnsi="Times New Roman" w:cs="Times New Roman" w:hint="eastAsia"/>
                <w:color w:val="000000" w:themeColor="text1"/>
                <w:kern w:val="0"/>
                <w:szCs w:val="24"/>
              </w:rPr>
              <w:t>週</w:t>
            </w:r>
            <w:proofErr w:type="gramEnd"/>
            <w:r w:rsidRPr="00723163">
              <w:rPr>
                <w:rFonts w:ascii="Times New Roman" w:eastAsia="標楷體" w:hAnsi="Times New Roman" w:cs="Times New Roman" w:hint="eastAsia"/>
                <w:color w:val="000000" w:themeColor="text1"/>
                <w:kern w:val="0"/>
                <w:szCs w:val="24"/>
              </w:rPr>
              <w:t>至數月。</w:t>
            </w:r>
          </w:p>
          <w:p w14:paraId="1B52310F" w14:textId="44DF729E" w:rsidR="00723163" w:rsidRPr="00723163" w:rsidRDefault="00723163" w:rsidP="00723163">
            <w:pPr>
              <w:pStyle w:val="aa"/>
              <w:widowControl/>
              <w:numPr>
                <w:ilvl w:val="0"/>
                <w:numId w:val="16"/>
              </w:numPr>
              <w:shd w:val="clear" w:color="auto" w:fill="FFFFFF"/>
              <w:ind w:leftChars="0" w:left="504" w:hanging="504"/>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kern w:val="0"/>
                <w:szCs w:val="24"/>
              </w:rPr>
              <w:t>嚴重高血鈣可能導致急性腎損傷、昏迷、心律異常</w:t>
            </w:r>
            <w:r w:rsidR="001A637A">
              <w:rPr>
                <w:rFonts w:ascii="Times New Roman" w:eastAsia="標楷體" w:hAnsi="Times New Roman" w:cs="Times New Roman" w:hint="eastAsia"/>
                <w:kern w:val="0"/>
                <w:szCs w:val="24"/>
              </w:rPr>
              <w:t>及</w:t>
            </w:r>
            <w:r w:rsidRPr="00723163">
              <w:rPr>
                <w:rFonts w:ascii="Times New Roman" w:eastAsia="標楷體" w:hAnsi="Times New Roman" w:cs="Times New Roman" w:hint="eastAsia"/>
                <w:kern w:val="0"/>
                <w:szCs w:val="24"/>
              </w:rPr>
              <w:t>心跳停止。考量高血鈣風險之嚴重性，</w:t>
            </w:r>
            <w:r w:rsidR="001A637A">
              <w:rPr>
                <w:rFonts w:ascii="Times New Roman" w:eastAsia="標楷體" w:hAnsi="Times New Roman" w:cs="Times New Roman" w:hint="eastAsia"/>
                <w:kern w:val="0"/>
                <w:szCs w:val="24"/>
              </w:rPr>
              <w:t>不建議</w:t>
            </w:r>
            <w:r w:rsidR="00345054" w:rsidRPr="00345054">
              <w:rPr>
                <w:rFonts w:ascii="Times New Roman" w:eastAsia="標楷體" w:hAnsi="Times New Roman" w:cs="Times New Roman"/>
                <w:kern w:val="0"/>
                <w:szCs w:val="24"/>
              </w:rPr>
              <w:t>Prolia</w:t>
            </w:r>
            <w:r w:rsidR="00C519CC" w:rsidRPr="00C519CC">
              <w:rPr>
                <w:rFonts w:ascii="Times New Roman" w:eastAsia="標楷體" w:hAnsi="Times New Roman" w:cs="Times New Roman"/>
                <w:color w:val="000000" w:themeColor="text1"/>
                <w:kern w:val="0"/>
                <w:szCs w:val="24"/>
                <w:vertAlign w:val="superscript"/>
              </w:rPr>
              <w:t>®</w:t>
            </w:r>
            <w:r w:rsidR="00345054" w:rsidRPr="00345054">
              <w:rPr>
                <w:rFonts w:ascii="Times New Roman" w:eastAsia="標楷體" w:hAnsi="Times New Roman" w:cs="Times New Roman"/>
                <w:kern w:val="0"/>
                <w:szCs w:val="24"/>
              </w:rPr>
              <w:t>(denosumab 60mg)</w:t>
            </w:r>
            <w:r w:rsidR="001A637A">
              <w:rPr>
                <w:rFonts w:ascii="Times New Roman" w:eastAsia="標楷體" w:hAnsi="Times New Roman" w:cs="Times New Roman" w:hint="eastAsia"/>
                <w:kern w:val="0"/>
                <w:szCs w:val="24"/>
              </w:rPr>
              <w:t xml:space="preserve"> </w:t>
            </w:r>
            <w:r w:rsidRPr="00723163">
              <w:rPr>
                <w:rFonts w:ascii="Times New Roman" w:eastAsia="標楷體" w:hAnsi="Times New Roman" w:cs="Times New Roman" w:hint="eastAsia"/>
                <w:kern w:val="0"/>
                <w:szCs w:val="24"/>
              </w:rPr>
              <w:t>用於</w:t>
            </w:r>
            <w:r w:rsidRPr="00723163">
              <w:rPr>
                <w:rFonts w:ascii="Times New Roman" w:eastAsia="標楷體" w:hAnsi="Times New Roman" w:cs="Times New Roman" w:hint="eastAsia"/>
                <w:kern w:val="0"/>
                <w:szCs w:val="24"/>
              </w:rPr>
              <w:t>18</w:t>
            </w:r>
            <w:r w:rsidRPr="00723163">
              <w:rPr>
                <w:rFonts w:ascii="Times New Roman" w:eastAsia="標楷體" w:hAnsi="Times New Roman" w:cs="Times New Roman" w:hint="eastAsia"/>
                <w:kern w:val="0"/>
                <w:szCs w:val="24"/>
              </w:rPr>
              <w:t>歲以下兒童和青少年病人。</w:t>
            </w:r>
          </w:p>
          <w:p w14:paraId="2F2B8649" w14:textId="33A7CA88" w:rsidR="00723163" w:rsidRPr="00723163" w:rsidRDefault="00723163" w:rsidP="00723163">
            <w:pPr>
              <w:pStyle w:val="aa"/>
              <w:widowControl/>
              <w:numPr>
                <w:ilvl w:val="0"/>
                <w:numId w:val="16"/>
              </w:numPr>
              <w:shd w:val="clear" w:color="auto" w:fill="FFFFFF"/>
              <w:ind w:leftChars="0" w:left="504" w:hanging="504"/>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kern w:val="0"/>
                <w:szCs w:val="24"/>
              </w:rPr>
              <w:t>應告知病人</w:t>
            </w:r>
            <w:r w:rsidR="00345054" w:rsidRPr="00345054">
              <w:rPr>
                <w:rFonts w:ascii="Times New Roman" w:eastAsia="標楷體" w:hAnsi="Times New Roman" w:cs="Times New Roman"/>
                <w:kern w:val="0"/>
                <w:szCs w:val="24"/>
              </w:rPr>
              <w:t>Prolia</w:t>
            </w:r>
            <w:r w:rsidR="00C519CC" w:rsidRPr="00C519CC">
              <w:rPr>
                <w:rFonts w:ascii="Times New Roman" w:eastAsia="標楷體" w:hAnsi="Times New Roman" w:cs="Times New Roman"/>
                <w:color w:val="000000" w:themeColor="text1"/>
                <w:kern w:val="0"/>
                <w:szCs w:val="24"/>
                <w:vertAlign w:val="superscript"/>
              </w:rPr>
              <w:t>®</w:t>
            </w:r>
            <w:r w:rsidR="00345054" w:rsidRPr="00345054">
              <w:rPr>
                <w:rFonts w:ascii="Times New Roman" w:eastAsia="標楷體" w:hAnsi="Times New Roman" w:cs="Times New Roman"/>
                <w:kern w:val="0"/>
                <w:szCs w:val="24"/>
              </w:rPr>
              <w:t>(denosumab 60mg)</w:t>
            </w:r>
            <w:r w:rsidR="001A637A">
              <w:rPr>
                <w:rFonts w:ascii="Times New Roman" w:eastAsia="標楷體" w:hAnsi="Times New Roman" w:cs="Times New Roman" w:hint="eastAsia"/>
                <w:kern w:val="0"/>
                <w:szCs w:val="24"/>
              </w:rPr>
              <w:t xml:space="preserve"> </w:t>
            </w:r>
            <w:r w:rsidRPr="00723163">
              <w:rPr>
                <w:rFonts w:ascii="Times New Roman" w:eastAsia="標楷體" w:hAnsi="Times New Roman" w:cs="Times New Roman" w:hint="eastAsia"/>
                <w:kern w:val="0"/>
                <w:szCs w:val="24"/>
              </w:rPr>
              <w:t>可能</w:t>
            </w:r>
            <w:r w:rsidR="001A637A">
              <w:rPr>
                <w:rFonts w:ascii="Times New Roman" w:eastAsia="標楷體" w:hAnsi="Times New Roman" w:cs="Times New Roman" w:hint="eastAsia"/>
                <w:kern w:val="0"/>
                <w:szCs w:val="24"/>
              </w:rPr>
              <w:t>之</w:t>
            </w:r>
            <w:r w:rsidRPr="00723163">
              <w:rPr>
                <w:rFonts w:ascii="Times New Roman" w:eastAsia="標楷體" w:hAnsi="Times New Roman" w:cs="Times New Roman" w:hint="eastAsia"/>
                <w:kern w:val="0"/>
                <w:szCs w:val="24"/>
              </w:rPr>
              <w:t>高血鈣風險，並告知病人</w:t>
            </w:r>
            <w:proofErr w:type="gramStart"/>
            <w:r w:rsidRPr="00723163">
              <w:rPr>
                <w:rFonts w:ascii="Times New Roman" w:eastAsia="標楷體" w:hAnsi="Times New Roman" w:cs="Times New Roman" w:hint="eastAsia"/>
                <w:kern w:val="0"/>
                <w:szCs w:val="24"/>
              </w:rPr>
              <w:t>或其照護</w:t>
            </w:r>
            <w:proofErr w:type="gramEnd"/>
            <w:r w:rsidRPr="00723163">
              <w:rPr>
                <w:rFonts w:ascii="Times New Roman" w:eastAsia="標楷體" w:hAnsi="Times New Roman" w:cs="Times New Roman" w:hint="eastAsia"/>
                <w:kern w:val="0"/>
                <w:szCs w:val="24"/>
              </w:rPr>
              <w:t>者，若出現多渴、多尿、嘔吐、昏昏欲睡、意識混亂、專</w:t>
            </w:r>
            <w:r w:rsidRPr="00723163">
              <w:rPr>
                <w:rFonts w:ascii="Times New Roman" w:eastAsia="標楷體" w:hAnsi="Times New Roman" w:cs="Times New Roman" w:hint="eastAsia"/>
                <w:kern w:val="0"/>
                <w:szCs w:val="24"/>
              </w:rPr>
              <w:lastRenderedPageBreak/>
              <w:t>注障礙、感覺身體不適、便祕、肌無力等</w:t>
            </w:r>
            <w:r w:rsidR="001A637A">
              <w:rPr>
                <w:rFonts w:ascii="Times New Roman" w:eastAsia="標楷體" w:hAnsi="Times New Roman" w:cs="Times New Roman" w:hint="eastAsia"/>
                <w:kern w:val="0"/>
                <w:szCs w:val="24"/>
              </w:rPr>
              <w:t>症狀</w:t>
            </w:r>
            <w:r w:rsidRPr="00723163">
              <w:rPr>
                <w:rFonts w:ascii="Times New Roman" w:eastAsia="標楷體" w:hAnsi="Times New Roman" w:cs="Times New Roman" w:hint="eastAsia"/>
                <w:kern w:val="0"/>
                <w:szCs w:val="24"/>
              </w:rPr>
              <w:t>，應立即回診尋求醫療協助。</w:t>
            </w:r>
          </w:p>
          <w:p w14:paraId="38E00D4A" w14:textId="144695E1" w:rsidR="00723163" w:rsidRPr="00723163" w:rsidRDefault="00723163" w:rsidP="00723163">
            <w:pPr>
              <w:pStyle w:val="aa"/>
              <w:widowControl/>
              <w:numPr>
                <w:ilvl w:val="0"/>
                <w:numId w:val="16"/>
              </w:numPr>
              <w:shd w:val="clear" w:color="auto" w:fill="FFFFFF"/>
              <w:ind w:leftChars="0" w:left="504" w:hanging="504"/>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kern w:val="0"/>
                <w:szCs w:val="24"/>
              </w:rPr>
              <w:t>另</w:t>
            </w:r>
            <w:proofErr w:type="spellStart"/>
            <w:r w:rsidR="00223878" w:rsidRPr="00723163">
              <w:rPr>
                <w:rFonts w:ascii="Times New Roman" w:eastAsia="標楷體" w:hAnsi="Times New Roman" w:cs="Times New Roman" w:hint="eastAsia"/>
                <w:kern w:val="0"/>
                <w:szCs w:val="24"/>
              </w:rPr>
              <w:t>Xgeva</w:t>
            </w:r>
            <w:proofErr w:type="spellEnd"/>
            <w:r w:rsidR="00223878" w:rsidRPr="001A637A">
              <w:rPr>
                <w:rFonts w:ascii="Times New Roman" w:eastAsia="標楷體" w:hAnsi="Times New Roman" w:cs="Times New Roman" w:hint="eastAsia"/>
                <w:kern w:val="0"/>
                <w:szCs w:val="24"/>
                <w:vertAlign w:val="superscript"/>
              </w:rPr>
              <w:t>®</w:t>
            </w:r>
            <w:r w:rsidRPr="00723163">
              <w:rPr>
                <w:rFonts w:ascii="Times New Roman" w:eastAsia="標楷體" w:hAnsi="Times New Roman" w:cs="Times New Roman" w:hint="eastAsia"/>
                <w:kern w:val="0"/>
                <w:szCs w:val="24"/>
              </w:rPr>
              <w:t>(</w:t>
            </w:r>
            <w:r w:rsidR="00223878" w:rsidRPr="00723163">
              <w:rPr>
                <w:rFonts w:ascii="Times New Roman" w:eastAsia="標楷體" w:hAnsi="Times New Roman" w:cs="Times New Roman" w:hint="eastAsia"/>
                <w:kern w:val="0"/>
                <w:szCs w:val="24"/>
              </w:rPr>
              <w:t>denosumab 120 mg</w:t>
            </w:r>
            <w:r w:rsidRPr="00723163">
              <w:rPr>
                <w:rFonts w:ascii="Times New Roman" w:eastAsia="標楷體" w:hAnsi="Times New Roman" w:cs="Times New Roman" w:hint="eastAsia"/>
                <w:kern w:val="0"/>
                <w:szCs w:val="24"/>
              </w:rPr>
              <w:t>)</w:t>
            </w:r>
            <w:r w:rsidR="001A637A">
              <w:rPr>
                <w:rFonts w:ascii="Times New Roman" w:eastAsia="標楷體" w:hAnsi="Times New Roman" w:cs="Times New Roman" w:hint="eastAsia"/>
                <w:kern w:val="0"/>
                <w:szCs w:val="24"/>
              </w:rPr>
              <w:t xml:space="preserve"> </w:t>
            </w:r>
            <w:r w:rsidR="001A637A">
              <w:rPr>
                <w:rFonts w:ascii="Times New Roman" w:eastAsia="標楷體" w:hAnsi="Times New Roman" w:cs="Times New Roman" w:hint="eastAsia"/>
                <w:kern w:val="0"/>
                <w:szCs w:val="24"/>
              </w:rPr>
              <w:t>目前</w:t>
            </w:r>
            <w:r w:rsidRPr="00723163">
              <w:rPr>
                <w:rFonts w:ascii="Times New Roman" w:eastAsia="標楷體" w:hAnsi="Times New Roman" w:cs="Times New Roman" w:hint="eastAsia"/>
                <w:kern w:val="0"/>
                <w:szCs w:val="24"/>
              </w:rPr>
              <w:t>仍被核准用於骨骼發育成熟青少年</w:t>
            </w:r>
            <w:r w:rsidR="001A637A">
              <w:rPr>
                <w:rFonts w:ascii="Times New Roman" w:eastAsia="標楷體" w:hAnsi="Times New Roman" w:cs="Times New Roman" w:hint="eastAsia"/>
                <w:kern w:val="0"/>
                <w:szCs w:val="24"/>
              </w:rPr>
              <w:t>治療</w:t>
            </w:r>
            <w:proofErr w:type="gramStart"/>
            <w:r w:rsidR="001A637A">
              <w:rPr>
                <w:rFonts w:ascii="Times New Roman" w:eastAsia="標楷體" w:hAnsi="Times New Roman" w:cs="Times New Roman" w:hint="eastAsia"/>
                <w:kern w:val="0"/>
                <w:szCs w:val="24"/>
              </w:rPr>
              <w:t>其</w:t>
            </w:r>
            <w:r w:rsidRPr="00723163">
              <w:rPr>
                <w:rFonts w:ascii="Times New Roman" w:eastAsia="標楷體" w:hAnsi="Times New Roman" w:cs="Times New Roman" w:hint="eastAsia"/>
                <w:kern w:val="0"/>
                <w:szCs w:val="24"/>
              </w:rPr>
              <w:t>骨巨</w:t>
            </w:r>
            <w:proofErr w:type="gramEnd"/>
            <w:r w:rsidRPr="00723163">
              <w:rPr>
                <w:rFonts w:ascii="Times New Roman" w:eastAsia="標楷體" w:hAnsi="Times New Roman" w:cs="Times New Roman" w:hint="eastAsia"/>
                <w:kern w:val="0"/>
                <w:szCs w:val="24"/>
              </w:rPr>
              <w:t>細胞瘤，</w:t>
            </w:r>
            <w:r w:rsidR="001A637A">
              <w:rPr>
                <w:rFonts w:ascii="Times New Roman" w:eastAsia="標楷體" w:hAnsi="Times New Roman" w:cs="Times New Roman" w:hint="eastAsia"/>
                <w:kern w:val="0"/>
                <w:szCs w:val="24"/>
              </w:rPr>
              <w:t>於</w:t>
            </w:r>
            <w:r w:rsidRPr="00723163">
              <w:rPr>
                <w:rFonts w:ascii="Times New Roman" w:eastAsia="標楷體" w:hAnsi="Times New Roman" w:cs="Times New Roman" w:hint="eastAsia"/>
                <w:kern w:val="0"/>
                <w:szCs w:val="24"/>
              </w:rPr>
              <w:t>停藥後亦曾有發生反彈性高血鈣</w:t>
            </w:r>
            <w:r w:rsidR="001A637A">
              <w:rPr>
                <w:rFonts w:ascii="Times New Roman" w:eastAsia="標楷體" w:hAnsi="Times New Roman" w:cs="Times New Roman" w:hint="eastAsia"/>
                <w:kern w:val="0"/>
                <w:szCs w:val="24"/>
              </w:rPr>
              <w:t>之通報案例</w:t>
            </w:r>
            <w:r w:rsidRPr="00723163">
              <w:rPr>
                <w:rFonts w:ascii="Times New Roman" w:eastAsia="標楷體" w:hAnsi="Times New Roman" w:cs="Times New Roman" w:hint="eastAsia"/>
                <w:kern w:val="0"/>
                <w:szCs w:val="24"/>
              </w:rPr>
              <w:t>。在停止</w:t>
            </w:r>
            <w:proofErr w:type="spellStart"/>
            <w:r w:rsidR="001A637A" w:rsidRPr="00723163">
              <w:rPr>
                <w:rFonts w:ascii="Times New Roman" w:eastAsia="標楷體" w:hAnsi="Times New Roman" w:cs="Times New Roman" w:hint="eastAsia"/>
                <w:kern w:val="0"/>
                <w:szCs w:val="24"/>
              </w:rPr>
              <w:t>Xgeva</w:t>
            </w:r>
            <w:proofErr w:type="spellEnd"/>
            <w:r w:rsidR="001A637A" w:rsidRPr="001A637A">
              <w:rPr>
                <w:rFonts w:ascii="Times New Roman" w:eastAsia="標楷體" w:hAnsi="Times New Roman" w:cs="Times New Roman" w:hint="eastAsia"/>
                <w:kern w:val="0"/>
                <w:szCs w:val="24"/>
                <w:vertAlign w:val="superscript"/>
              </w:rPr>
              <w:t>®</w:t>
            </w:r>
            <w:r w:rsidRPr="00723163">
              <w:rPr>
                <w:rFonts w:ascii="Times New Roman" w:eastAsia="標楷體" w:hAnsi="Times New Roman" w:cs="Times New Roman" w:hint="eastAsia"/>
                <w:kern w:val="0"/>
                <w:szCs w:val="24"/>
              </w:rPr>
              <w:t>治療後，應監測病人高血鈣病徵</w:t>
            </w:r>
            <w:r w:rsidR="001A637A">
              <w:rPr>
                <w:rFonts w:ascii="Times New Roman" w:eastAsia="標楷體" w:hAnsi="Times New Roman" w:cs="Times New Roman" w:hint="eastAsia"/>
                <w:kern w:val="0"/>
                <w:szCs w:val="24"/>
              </w:rPr>
              <w:t>及</w:t>
            </w:r>
            <w:r w:rsidRPr="00723163">
              <w:rPr>
                <w:rFonts w:ascii="Times New Roman" w:eastAsia="標楷體" w:hAnsi="Times New Roman" w:cs="Times New Roman" w:hint="eastAsia"/>
                <w:kern w:val="0"/>
                <w:szCs w:val="24"/>
              </w:rPr>
              <w:t>症狀</w:t>
            </w:r>
            <w:r w:rsidR="001A637A">
              <w:rPr>
                <w:rFonts w:ascii="Times New Roman" w:eastAsia="標楷體" w:hAnsi="Times New Roman" w:cs="Times New Roman" w:hint="eastAsia"/>
                <w:kern w:val="0"/>
                <w:szCs w:val="24"/>
              </w:rPr>
              <w:t>，</w:t>
            </w:r>
            <w:r w:rsidRPr="00723163">
              <w:rPr>
                <w:rFonts w:ascii="Times New Roman" w:eastAsia="標楷體" w:hAnsi="Times New Roman" w:cs="Times New Roman" w:hint="eastAsia"/>
                <w:kern w:val="0"/>
                <w:szCs w:val="24"/>
              </w:rPr>
              <w:t>並給予適當的處置。</w:t>
            </w:r>
          </w:p>
          <w:p w14:paraId="27457B67" w14:textId="77777777" w:rsidR="00723163" w:rsidRPr="00723163" w:rsidRDefault="00723163" w:rsidP="00723163">
            <w:pPr>
              <w:pStyle w:val="aa"/>
              <w:widowControl/>
              <w:shd w:val="clear" w:color="auto" w:fill="FFFFFF"/>
              <w:ind w:leftChars="0" w:left="504"/>
              <w:jc w:val="both"/>
              <w:rPr>
                <w:rFonts w:ascii="Times New Roman" w:eastAsia="標楷體" w:hAnsi="Times New Roman" w:cs="Times New Roman"/>
                <w:color w:val="000000" w:themeColor="text1"/>
                <w:kern w:val="0"/>
                <w:szCs w:val="24"/>
              </w:rPr>
            </w:pPr>
          </w:p>
          <w:p w14:paraId="066A8FE0" w14:textId="7CE9637D" w:rsidR="00723163" w:rsidRPr="00723163" w:rsidRDefault="00723163" w:rsidP="00723163">
            <w:pPr>
              <w:widowControl/>
              <w:numPr>
                <w:ilvl w:val="0"/>
                <w:numId w:val="13"/>
              </w:numPr>
              <w:shd w:val="clear" w:color="auto" w:fill="FFFFFF"/>
              <w:spacing w:line="400" w:lineRule="exact"/>
              <w:jc w:val="both"/>
              <w:rPr>
                <w:rFonts w:ascii="Times New Roman" w:eastAsia="標楷體" w:hAnsi="Times New Roman" w:cs="Times New Roman"/>
                <w:b/>
                <w:bCs/>
                <w:kern w:val="0"/>
                <w:szCs w:val="24"/>
                <w:u w:val="single"/>
              </w:rPr>
            </w:pPr>
            <w:r w:rsidRPr="00723163">
              <w:rPr>
                <w:rFonts w:ascii="Times New Roman" w:eastAsia="標楷體" w:hAnsi="Times New Roman" w:cs="Times New Roman" w:hint="eastAsia"/>
                <w:b/>
                <w:bCs/>
                <w:kern w:val="0"/>
                <w:szCs w:val="24"/>
                <w:u w:val="single"/>
              </w:rPr>
              <w:t>病人</w:t>
            </w:r>
            <w:r w:rsidRPr="00723163">
              <w:rPr>
                <w:rFonts w:ascii="Times New Roman" w:eastAsia="標楷體" w:hAnsi="Times New Roman" w:cs="Times New Roman" w:hint="eastAsia"/>
                <w:b/>
                <w:bCs/>
                <w:kern w:val="0"/>
                <w:szCs w:val="24"/>
              </w:rPr>
              <w:t>應注意事項：</w:t>
            </w:r>
          </w:p>
          <w:p w14:paraId="77713F90" w14:textId="0159C12C" w:rsidR="00723163" w:rsidRDefault="00723163" w:rsidP="00723163">
            <w:pPr>
              <w:pStyle w:val="aa"/>
              <w:widowControl/>
              <w:numPr>
                <w:ilvl w:val="0"/>
                <w:numId w:val="17"/>
              </w:numPr>
              <w:shd w:val="clear" w:color="auto" w:fill="FFFFFF"/>
              <w:ind w:leftChars="0"/>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color w:val="000000" w:themeColor="text1"/>
                <w:kern w:val="0"/>
                <w:szCs w:val="24"/>
              </w:rPr>
              <w:t>曾有</w:t>
            </w:r>
            <w:r w:rsidR="003B7686" w:rsidRPr="003B7686">
              <w:rPr>
                <w:rFonts w:ascii="Times New Roman" w:eastAsia="標楷體" w:hAnsi="Times New Roman" w:cs="Times New Roman" w:hint="eastAsia"/>
                <w:color w:val="000000" w:themeColor="text1"/>
                <w:kern w:val="0"/>
                <w:szCs w:val="24"/>
              </w:rPr>
              <w:t>兒童及青少年病人使用</w:t>
            </w:r>
            <w:r w:rsidR="00223878" w:rsidRPr="00223878">
              <w:rPr>
                <w:rFonts w:ascii="Times New Roman" w:eastAsia="標楷體" w:hAnsi="Times New Roman" w:cs="Times New Roman"/>
                <w:color w:val="000000" w:themeColor="text1"/>
                <w:kern w:val="0"/>
                <w:szCs w:val="24"/>
              </w:rPr>
              <w:t>Prolia</w:t>
            </w:r>
            <w:r w:rsidR="00223878" w:rsidRPr="00C519CC">
              <w:rPr>
                <w:rFonts w:ascii="Times New Roman" w:eastAsia="標楷體" w:hAnsi="Times New Roman" w:cs="Times New Roman"/>
                <w:color w:val="000000" w:themeColor="text1"/>
                <w:kern w:val="0"/>
                <w:szCs w:val="24"/>
                <w:vertAlign w:val="superscript"/>
              </w:rPr>
              <w:t>®</w:t>
            </w:r>
            <w:r w:rsidR="00223878" w:rsidRPr="00223878">
              <w:rPr>
                <w:rFonts w:ascii="Times New Roman" w:eastAsia="標楷體" w:hAnsi="Times New Roman" w:cs="Times New Roman"/>
                <w:color w:val="000000" w:themeColor="text1"/>
                <w:kern w:val="0"/>
                <w:szCs w:val="24"/>
              </w:rPr>
              <w:t>(denosumab 60mg)</w:t>
            </w:r>
            <w:r w:rsidR="003B7686">
              <w:rPr>
                <w:rFonts w:ascii="Times New Roman" w:eastAsia="標楷體" w:hAnsi="Times New Roman" w:cs="Times New Roman" w:hint="eastAsia"/>
                <w:color w:val="000000" w:themeColor="text1"/>
                <w:kern w:val="0"/>
                <w:szCs w:val="24"/>
              </w:rPr>
              <w:t xml:space="preserve"> </w:t>
            </w:r>
            <w:r w:rsidRPr="00723163">
              <w:rPr>
                <w:rFonts w:ascii="Times New Roman" w:eastAsia="標楷體" w:hAnsi="Times New Roman" w:cs="Times New Roman" w:hint="eastAsia"/>
                <w:color w:val="000000" w:themeColor="text1"/>
                <w:kern w:val="0"/>
                <w:szCs w:val="24"/>
              </w:rPr>
              <w:t>發生嚴重且危及生命</w:t>
            </w:r>
            <w:r w:rsidR="003B7686">
              <w:rPr>
                <w:rFonts w:ascii="Times New Roman" w:eastAsia="標楷體" w:hAnsi="Times New Roman" w:cs="Times New Roman" w:hint="eastAsia"/>
                <w:color w:val="000000" w:themeColor="text1"/>
                <w:kern w:val="0"/>
                <w:szCs w:val="24"/>
              </w:rPr>
              <w:t>之</w:t>
            </w:r>
            <w:r w:rsidRPr="00723163">
              <w:rPr>
                <w:rFonts w:ascii="Times New Roman" w:eastAsia="標楷體" w:hAnsi="Times New Roman" w:cs="Times New Roman" w:hint="eastAsia"/>
                <w:color w:val="000000" w:themeColor="text1"/>
                <w:kern w:val="0"/>
                <w:szCs w:val="24"/>
              </w:rPr>
              <w:t>高血鈣通報案例，</w:t>
            </w:r>
            <w:r w:rsidR="003B7686" w:rsidRPr="00723163">
              <w:rPr>
                <w:rFonts w:ascii="Times New Roman" w:eastAsia="標楷體" w:hAnsi="Times New Roman" w:cs="Times New Roman" w:hint="eastAsia"/>
                <w:color w:val="000000" w:themeColor="text1"/>
                <w:kern w:val="0"/>
                <w:szCs w:val="24"/>
              </w:rPr>
              <w:t>這些案例</w:t>
            </w:r>
            <w:r w:rsidRPr="00723163">
              <w:rPr>
                <w:rFonts w:ascii="Times New Roman" w:eastAsia="標楷體" w:hAnsi="Times New Roman" w:cs="Times New Roman" w:hint="eastAsia"/>
                <w:color w:val="000000" w:themeColor="text1"/>
                <w:kern w:val="0"/>
                <w:szCs w:val="24"/>
              </w:rPr>
              <w:t>可能發生在</w:t>
            </w:r>
            <w:r w:rsidRPr="00723163">
              <w:rPr>
                <w:rFonts w:ascii="Times New Roman" w:eastAsia="標楷體" w:hAnsi="Times New Roman" w:cs="Times New Roman" w:hint="eastAsia"/>
                <w:color w:val="000000" w:themeColor="text1"/>
                <w:kern w:val="0"/>
                <w:szCs w:val="24"/>
              </w:rPr>
              <w:t>Prolia</w:t>
            </w:r>
            <w:r w:rsidRPr="003B7686">
              <w:rPr>
                <w:rFonts w:ascii="Times New Roman" w:eastAsia="標楷體" w:hAnsi="Times New Roman" w:cs="Times New Roman" w:hint="eastAsia"/>
                <w:color w:val="000000" w:themeColor="text1"/>
                <w:kern w:val="0"/>
                <w:szCs w:val="24"/>
                <w:vertAlign w:val="superscript"/>
              </w:rPr>
              <w:t>®</w:t>
            </w:r>
            <w:r w:rsidRPr="00723163">
              <w:rPr>
                <w:rFonts w:ascii="Times New Roman" w:eastAsia="標楷體" w:hAnsi="Times New Roman" w:cs="Times New Roman" w:hint="eastAsia"/>
                <w:color w:val="000000" w:themeColor="text1"/>
                <w:kern w:val="0"/>
                <w:szCs w:val="24"/>
              </w:rPr>
              <w:t>治療期間或是最後一次給藥後的數</w:t>
            </w:r>
            <w:proofErr w:type="gramStart"/>
            <w:r w:rsidRPr="00723163">
              <w:rPr>
                <w:rFonts w:ascii="Times New Roman" w:eastAsia="標楷體" w:hAnsi="Times New Roman" w:cs="Times New Roman" w:hint="eastAsia"/>
                <w:color w:val="000000" w:themeColor="text1"/>
                <w:kern w:val="0"/>
                <w:szCs w:val="24"/>
              </w:rPr>
              <w:t>週</w:t>
            </w:r>
            <w:proofErr w:type="gramEnd"/>
            <w:r w:rsidRPr="00723163">
              <w:rPr>
                <w:rFonts w:ascii="Times New Roman" w:eastAsia="標楷體" w:hAnsi="Times New Roman" w:cs="Times New Roman" w:hint="eastAsia"/>
                <w:color w:val="000000" w:themeColor="text1"/>
                <w:kern w:val="0"/>
                <w:szCs w:val="24"/>
              </w:rPr>
              <w:t>至數月。</w:t>
            </w:r>
          </w:p>
          <w:p w14:paraId="44132048" w14:textId="6D724BA7" w:rsidR="00723163" w:rsidRPr="00723163" w:rsidRDefault="00723163" w:rsidP="00723163">
            <w:pPr>
              <w:pStyle w:val="aa"/>
              <w:widowControl/>
              <w:numPr>
                <w:ilvl w:val="0"/>
                <w:numId w:val="17"/>
              </w:numPr>
              <w:shd w:val="clear" w:color="auto" w:fill="FFFFFF"/>
              <w:ind w:leftChars="0"/>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kern w:val="0"/>
                <w:szCs w:val="24"/>
              </w:rPr>
              <w:t>嚴重高血鈣可</w:t>
            </w:r>
            <w:r w:rsidR="003B7686">
              <w:rPr>
                <w:rFonts w:ascii="Times New Roman" w:eastAsia="標楷體" w:hAnsi="Times New Roman" w:cs="Times New Roman" w:hint="eastAsia"/>
                <w:kern w:val="0"/>
                <w:szCs w:val="24"/>
              </w:rPr>
              <w:t>能</w:t>
            </w:r>
            <w:r w:rsidRPr="00723163">
              <w:rPr>
                <w:rFonts w:ascii="Times New Roman" w:eastAsia="標楷體" w:hAnsi="Times New Roman" w:cs="Times New Roman" w:hint="eastAsia"/>
                <w:kern w:val="0"/>
                <w:szCs w:val="24"/>
              </w:rPr>
              <w:t>導致急性腎損傷、昏迷、心律異常</w:t>
            </w:r>
            <w:r w:rsidR="003B7686">
              <w:rPr>
                <w:rFonts w:ascii="Times New Roman" w:eastAsia="標楷體" w:hAnsi="Times New Roman" w:cs="Times New Roman" w:hint="eastAsia"/>
                <w:kern w:val="0"/>
                <w:szCs w:val="24"/>
              </w:rPr>
              <w:t>及</w:t>
            </w:r>
            <w:r w:rsidRPr="00723163">
              <w:rPr>
                <w:rFonts w:ascii="Times New Roman" w:eastAsia="標楷體" w:hAnsi="Times New Roman" w:cs="Times New Roman" w:hint="eastAsia"/>
                <w:kern w:val="0"/>
                <w:szCs w:val="24"/>
              </w:rPr>
              <w:t>心跳停止。若於用藥期間或停藥後出現任何可能為高血鈣的相關徵候或症狀，例如多渴、多尿、嘔吐、昏昏欲睡、意識混亂、專注障礙、感覺身體不適、便</w:t>
            </w:r>
            <w:proofErr w:type="gramStart"/>
            <w:r w:rsidRPr="00723163">
              <w:rPr>
                <w:rFonts w:ascii="Times New Roman" w:eastAsia="標楷體" w:hAnsi="Times New Roman" w:cs="Times New Roman" w:hint="eastAsia"/>
                <w:kern w:val="0"/>
                <w:szCs w:val="24"/>
              </w:rPr>
              <w:t>祕</w:t>
            </w:r>
            <w:proofErr w:type="gramEnd"/>
            <w:r w:rsidRPr="00723163">
              <w:rPr>
                <w:rFonts w:ascii="Times New Roman" w:eastAsia="標楷體" w:hAnsi="Times New Roman" w:cs="Times New Roman" w:hint="eastAsia"/>
                <w:kern w:val="0"/>
                <w:szCs w:val="24"/>
              </w:rPr>
              <w:t>、肌無力等症狀時，請立即尋求醫療協助。</w:t>
            </w:r>
          </w:p>
          <w:p w14:paraId="44900F6E" w14:textId="02472DEB" w:rsidR="00723163" w:rsidRPr="00723163" w:rsidRDefault="00723163" w:rsidP="00723163">
            <w:pPr>
              <w:pStyle w:val="aa"/>
              <w:widowControl/>
              <w:numPr>
                <w:ilvl w:val="0"/>
                <w:numId w:val="17"/>
              </w:numPr>
              <w:shd w:val="clear" w:color="auto" w:fill="FFFFFF"/>
              <w:ind w:leftChars="0"/>
              <w:jc w:val="both"/>
              <w:rPr>
                <w:rFonts w:ascii="Times New Roman" w:eastAsia="標楷體" w:hAnsi="Times New Roman" w:cs="Times New Roman"/>
                <w:color w:val="000000" w:themeColor="text1"/>
                <w:kern w:val="0"/>
                <w:szCs w:val="24"/>
              </w:rPr>
            </w:pPr>
            <w:r w:rsidRPr="00723163">
              <w:rPr>
                <w:rFonts w:ascii="Times New Roman" w:eastAsia="標楷體" w:hAnsi="Times New Roman" w:cs="Times New Roman" w:hint="eastAsia"/>
                <w:kern w:val="0"/>
                <w:szCs w:val="24"/>
              </w:rPr>
              <w:t>若您對使用</w:t>
            </w:r>
            <w:r w:rsidRPr="00723163">
              <w:rPr>
                <w:rFonts w:ascii="Times New Roman" w:eastAsia="標楷體" w:hAnsi="Times New Roman" w:cs="Times New Roman" w:hint="eastAsia"/>
                <w:kern w:val="0"/>
                <w:szCs w:val="24"/>
              </w:rPr>
              <w:t>denosumab</w:t>
            </w:r>
            <w:r w:rsidRPr="00723163">
              <w:rPr>
                <w:rFonts w:ascii="Times New Roman" w:eastAsia="標楷體" w:hAnsi="Times New Roman" w:cs="Times New Roman" w:hint="eastAsia"/>
                <w:kern w:val="0"/>
                <w:szCs w:val="24"/>
              </w:rPr>
              <w:t>成分藥品有疑問或疑慮請諮詢醫療人員，醫師將</w:t>
            </w:r>
            <w:r w:rsidR="003B7686">
              <w:rPr>
                <w:rFonts w:ascii="Times New Roman" w:eastAsia="標楷體" w:hAnsi="Times New Roman" w:cs="Times New Roman" w:hint="eastAsia"/>
                <w:kern w:val="0"/>
                <w:szCs w:val="24"/>
              </w:rPr>
              <w:t>進一步</w:t>
            </w:r>
            <w:r w:rsidRPr="00723163">
              <w:rPr>
                <w:rFonts w:ascii="Times New Roman" w:eastAsia="標楷體" w:hAnsi="Times New Roman" w:cs="Times New Roman" w:hint="eastAsia"/>
                <w:kern w:val="0"/>
                <w:szCs w:val="24"/>
              </w:rPr>
              <w:t>審慎評估</w:t>
            </w:r>
            <w:r w:rsidR="003B7686">
              <w:rPr>
                <w:rFonts w:ascii="Times New Roman" w:eastAsia="標楷體" w:hAnsi="Times New Roman" w:cs="Times New Roman" w:hint="eastAsia"/>
                <w:kern w:val="0"/>
                <w:szCs w:val="24"/>
              </w:rPr>
              <w:t>您用藥</w:t>
            </w:r>
            <w:r w:rsidRPr="00723163">
              <w:rPr>
                <w:rFonts w:ascii="Times New Roman" w:eastAsia="標楷體" w:hAnsi="Times New Roman" w:cs="Times New Roman" w:hint="eastAsia"/>
                <w:kern w:val="0"/>
                <w:szCs w:val="24"/>
              </w:rPr>
              <w:t>的風險</w:t>
            </w:r>
            <w:r w:rsidR="003B7686">
              <w:rPr>
                <w:rFonts w:ascii="Times New Roman" w:eastAsia="標楷體" w:hAnsi="Times New Roman" w:cs="Times New Roman" w:hint="eastAsia"/>
                <w:kern w:val="0"/>
                <w:szCs w:val="24"/>
              </w:rPr>
              <w:t>及</w:t>
            </w:r>
            <w:r w:rsidRPr="00723163">
              <w:rPr>
                <w:rFonts w:ascii="Times New Roman" w:eastAsia="標楷體" w:hAnsi="Times New Roman" w:cs="Times New Roman" w:hint="eastAsia"/>
                <w:kern w:val="0"/>
                <w:szCs w:val="24"/>
              </w:rPr>
              <w:t>效益。</w:t>
            </w:r>
          </w:p>
          <w:p w14:paraId="65ACC68D" w14:textId="77777777" w:rsidR="00723163" w:rsidRPr="00723163" w:rsidRDefault="00723163" w:rsidP="00723163">
            <w:pPr>
              <w:widowControl/>
              <w:shd w:val="clear" w:color="auto" w:fill="FFFFFF"/>
              <w:jc w:val="both"/>
              <w:rPr>
                <w:rFonts w:ascii="Times New Roman" w:eastAsia="標楷體" w:hAnsi="Times New Roman" w:cs="Times New Roman"/>
                <w:kern w:val="0"/>
                <w:szCs w:val="24"/>
              </w:rPr>
            </w:pPr>
          </w:p>
          <w:p w14:paraId="140E4FF1" w14:textId="20D0605D" w:rsidR="00016247" w:rsidRPr="00016247" w:rsidRDefault="00723163" w:rsidP="00723163">
            <w:pPr>
              <w:widowControl/>
              <w:shd w:val="clear" w:color="auto" w:fill="FFFFFF"/>
              <w:jc w:val="both"/>
              <w:rPr>
                <w:rFonts w:ascii="Times New Roman" w:eastAsia="標楷體" w:hAnsi="Times New Roman" w:cs="Times New Roman"/>
                <w:kern w:val="0"/>
                <w:szCs w:val="24"/>
              </w:rPr>
            </w:pPr>
            <w:r w:rsidRPr="00723163">
              <w:rPr>
                <w:rFonts w:ascii="Times New Roman" w:eastAsia="標楷體" w:hAnsi="Times New Roman" w:cs="Times New Roman" w:hint="eastAsia"/>
                <w:kern w:val="0"/>
                <w:szCs w:val="24"/>
              </w:rPr>
              <w:t>醫療人員或病人懷疑因為使用（服用）藥品導致不良反應發生時，請立即通報給衛生</w:t>
            </w:r>
            <w:proofErr w:type="gramStart"/>
            <w:r w:rsidRPr="00723163">
              <w:rPr>
                <w:rFonts w:ascii="Times New Roman" w:eastAsia="標楷體" w:hAnsi="Times New Roman" w:cs="Times New Roman" w:hint="eastAsia"/>
                <w:kern w:val="0"/>
                <w:szCs w:val="24"/>
              </w:rPr>
              <w:t>福利部所建置</w:t>
            </w:r>
            <w:proofErr w:type="gramEnd"/>
            <w:r w:rsidRPr="00723163">
              <w:rPr>
                <w:rFonts w:ascii="Times New Roman" w:eastAsia="標楷體" w:hAnsi="Times New Roman" w:cs="Times New Roman" w:hint="eastAsia"/>
                <w:kern w:val="0"/>
                <w:szCs w:val="24"/>
              </w:rPr>
              <w:t>之全國藥物不良反應通報中心，並副知所屬廠商，藥物不良反應通報專線</w:t>
            </w:r>
            <w:r w:rsidRPr="00723163">
              <w:rPr>
                <w:rFonts w:ascii="Times New Roman" w:eastAsia="標楷體" w:hAnsi="Times New Roman" w:cs="Times New Roman"/>
                <w:kern w:val="0"/>
                <w:szCs w:val="24"/>
              </w:rPr>
              <w:t>02-2396-0100</w:t>
            </w:r>
            <w:r w:rsidRPr="00723163">
              <w:rPr>
                <w:rFonts w:ascii="Times New Roman" w:eastAsia="標楷體" w:hAnsi="Times New Roman" w:cs="Times New Roman" w:hint="eastAsia"/>
                <w:kern w:val="0"/>
                <w:szCs w:val="24"/>
              </w:rPr>
              <w:t>，網站：</w:t>
            </w:r>
            <w:hyperlink r:id="rId9" w:history="1">
              <w:r w:rsidRPr="00114445">
                <w:rPr>
                  <w:rStyle w:val="ab"/>
                  <w:rFonts w:ascii="Times New Roman" w:eastAsia="標楷體" w:hAnsi="Times New Roman" w:cs="Times New Roman"/>
                  <w:kern w:val="0"/>
                  <w:szCs w:val="24"/>
                </w:rPr>
                <w:t>https://adr.fda.gov.tw</w:t>
              </w:r>
            </w:hyperlink>
            <w:r>
              <w:rPr>
                <w:rFonts w:ascii="Times New Roman" w:eastAsia="標楷體" w:hAnsi="Times New Roman" w:cs="Times New Roman" w:hint="eastAsia"/>
                <w:kern w:val="0"/>
                <w:szCs w:val="24"/>
              </w:rPr>
              <w:t xml:space="preserve"> </w:t>
            </w:r>
            <w:r w:rsidRPr="00723163">
              <w:rPr>
                <w:rFonts w:ascii="Times New Roman" w:eastAsia="標楷體" w:hAnsi="Times New Roman" w:cs="Times New Roman" w:hint="eastAsia"/>
                <w:kern w:val="0"/>
                <w:szCs w:val="24"/>
              </w:rPr>
              <w:t>；衛生福利部食品藥物管理署獲知藥品安全訊息時，</w:t>
            </w:r>
            <w:proofErr w:type="gramStart"/>
            <w:r w:rsidRPr="00723163">
              <w:rPr>
                <w:rFonts w:ascii="Times New Roman" w:eastAsia="標楷體" w:hAnsi="Times New Roman" w:cs="Times New Roman" w:hint="eastAsia"/>
                <w:kern w:val="0"/>
                <w:szCs w:val="24"/>
              </w:rPr>
              <w:t>均會蒐集</w:t>
            </w:r>
            <w:proofErr w:type="gramEnd"/>
            <w:r w:rsidRPr="00723163">
              <w:rPr>
                <w:rFonts w:ascii="Times New Roman" w:eastAsia="標楷體" w:hAnsi="Times New Roman" w:cs="Times New Roman" w:hint="eastAsia"/>
                <w:kern w:val="0"/>
                <w:szCs w:val="24"/>
              </w:rPr>
              <w:t>彙整相關資料進行評估，並對於新增之藥品風險採取對應之風險管控措施。</w:t>
            </w:r>
          </w:p>
        </w:tc>
      </w:tr>
    </w:tbl>
    <w:p w14:paraId="51B2EE70" w14:textId="77777777" w:rsidR="005251B1" w:rsidRDefault="005251B1" w:rsidP="00707B8C"/>
    <w:p w14:paraId="587220EB" w14:textId="77777777" w:rsidR="005B480E" w:rsidRDefault="005B480E" w:rsidP="00707B8C"/>
    <w:sectPr w:rsidR="005B480E" w:rsidSect="00147E19">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92AE" w14:textId="77777777" w:rsidR="00914B34" w:rsidRDefault="00914B34" w:rsidP="005251B1">
      <w:r>
        <w:separator/>
      </w:r>
    </w:p>
  </w:endnote>
  <w:endnote w:type="continuationSeparator" w:id="0">
    <w:p w14:paraId="36237A6E" w14:textId="77777777" w:rsidR="00914B34" w:rsidRDefault="00914B34" w:rsidP="005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7CE4" w14:textId="77777777" w:rsidR="00914B34" w:rsidRDefault="00914B34" w:rsidP="005251B1">
      <w:r>
        <w:separator/>
      </w:r>
    </w:p>
  </w:footnote>
  <w:footnote w:type="continuationSeparator" w:id="0">
    <w:p w14:paraId="0DB3E483" w14:textId="77777777" w:rsidR="00914B34" w:rsidRDefault="00914B34" w:rsidP="0052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CCA"/>
    <w:multiLevelType w:val="hybridMultilevel"/>
    <w:tmpl w:val="9D80CAC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D411971"/>
    <w:multiLevelType w:val="hybridMultilevel"/>
    <w:tmpl w:val="2BFA9758"/>
    <w:lvl w:ilvl="0" w:tplc="7A962CDA">
      <w:start w:val="99"/>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084499"/>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CC01DE"/>
    <w:multiLevelType w:val="hybridMultilevel"/>
    <w:tmpl w:val="B14E79B0"/>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250E7A"/>
    <w:multiLevelType w:val="hybridMultilevel"/>
    <w:tmpl w:val="10CEFA80"/>
    <w:lvl w:ilvl="0" w:tplc="C6C8A32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7D569A7"/>
    <w:multiLevelType w:val="hybridMultilevel"/>
    <w:tmpl w:val="4392C61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FBE7631"/>
    <w:multiLevelType w:val="hybridMultilevel"/>
    <w:tmpl w:val="B74EA012"/>
    <w:lvl w:ilvl="0" w:tplc="F586E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1808C2"/>
    <w:multiLevelType w:val="hybridMultilevel"/>
    <w:tmpl w:val="5072AAA8"/>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E4252E1"/>
    <w:multiLevelType w:val="hybridMultilevel"/>
    <w:tmpl w:val="98C2E9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61FD7F5C"/>
    <w:multiLevelType w:val="hybridMultilevel"/>
    <w:tmpl w:val="8E14FFC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5AE034E"/>
    <w:multiLevelType w:val="hybridMultilevel"/>
    <w:tmpl w:val="B74EA012"/>
    <w:lvl w:ilvl="0" w:tplc="F586E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164377"/>
    <w:multiLevelType w:val="hybridMultilevel"/>
    <w:tmpl w:val="D5CECC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6C005B3"/>
    <w:multiLevelType w:val="hybridMultilevel"/>
    <w:tmpl w:val="C4D48232"/>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6F2648D"/>
    <w:multiLevelType w:val="hybridMultilevel"/>
    <w:tmpl w:val="B74EA012"/>
    <w:lvl w:ilvl="0" w:tplc="F586E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1538E1"/>
    <w:multiLevelType w:val="hybridMultilevel"/>
    <w:tmpl w:val="58400A1E"/>
    <w:lvl w:ilvl="0" w:tplc="E862A6B8">
      <w:start w:val="1"/>
      <w:numFmt w:val="decimal"/>
      <w:lvlText w:val="%1."/>
      <w:lvlJc w:val="left"/>
      <w:pPr>
        <w:ind w:left="360" w:hanging="360"/>
      </w:pPr>
      <w:rPr>
        <w:rFonts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202C2F"/>
    <w:multiLevelType w:val="hybridMultilevel"/>
    <w:tmpl w:val="9E62BD88"/>
    <w:lvl w:ilvl="0" w:tplc="3E82775C">
      <w:start w:val="1"/>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13"/>
  </w:num>
  <w:num w:numId="4">
    <w:abstractNumId w:val="12"/>
  </w:num>
  <w:num w:numId="5">
    <w:abstractNumId w:val="8"/>
  </w:num>
  <w:num w:numId="6">
    <w:abstractNumId w:val="4"/>
  </w:num>
  <w:num w:numId="7">
    <w:abstractNumId w:val="9"/>
  </w:num>
  <w:num w:numId="8">
    <w:abstractNumId w:val="3"/>
  </w:num>
  <w:num w:numId="9">
    <w:abstractNumId w:val="0"/>
  </w:num>
  <w:num w:numId="10">
    <w:abstractNumId w:val="5"/>
  </w:num>
  <w:num w:numId="11">
    <w:abstractNumId w:val="10"/>
  </w:num>
  <w:num w:numId="12">
    <w:abstractNumId w:val="15"/>
  </w:num>
  <w:num w:numId="13">
    <w:abstractNumId w:val="6"/>
  </w:num>
  <w:num w:numId="14">
    <w:abstractNumId w:val="7"/>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8C"/>
    <w:rsid w:val="00006301"/>
    <w:rsid w:val="00006F92"/>
    <w:rsid w:val="00016247"/>
    <w:rsid w:val="000237E1"/>
    <w:rsid w:val="00026589"/>
    <w:rsid w:val="00057A0C"/>
    <w:rsid w:val="00071115"/>
    <w:rsid w:val="00081F61"/>
    <w:rsid w:val="00087A6A"/>
    <w:rsid w:val="00093242"/>
    <w:rsid w:val="00095F30"/>
    <w:rsid w:val="000A1B98"/>
    <w:rsid w:val="000B034B"/>
    <w:rsid w:val="000B162A"/>
    <w:rsid w:val="000B7352"/>
    <w:rsid w:val="000D7024"/>
    <w:rsid w:val="000E6E1E"/>
    <w:rsid w:val="000F6321"/>
    <w:rsid w:val="00101A4F"/>
    <w:rsid w:val="00104A56"/>
    <w:rsid w:val="00106621"/>
    <w:rsid w:val="00116D9F"/>
    <w:rsid w:val="00147E19"/>
    <w:rsid w:val="0015444F"/>
    <w:rsid w:val="0017684A"/>
    <w:rsid w:val="00183A23"/>
    <w:rsid w:val="001932BF"/>
    <w:rsid w:val="001A407D"/>
    <w:rsid w:val="001A637A"/>
    <w:rsid w:val="001A64DD"/>
    <w:rsid w:val="001A7E04"/>
    <w:rsid w:val="001A7E96"/>
    <w:rsid w:val="001B10AC"/>
    <w:rsid w:val="001B3D70"/>
    <w:rsid w:val="001B56EF"/>
    <w:rsid w:val="001D668E"/>
    <w:rsid w:val="001E7F28"/>
    <w:rsid w:val="002029AA"/>
    <w:rsid w:val="002045E8"/>
    <w:rsid w:val="00211AF1"/>
    <w:rsid w:val="00223878"/>
    <w:rsid w:val="00236656"/>
    <w:rsid w:val="0024026A"/>
    <w:rsid w:val="00241AE9"/>
    <w:rsid w:val="00243753"/>
    <w:rsid w:val="00246FE1"/>
    <w:rsid w:val="002508EE"/>
    <w:rsid w:val="00251494"/>
    <w:rsid w:val="00252877"/>
    <w:rsid w:val="00260925"/>
    <w:rsid w:val="002634E8"/>
    <w:rsid w:val="00270ADD"/>
    <w:rsid w:val="00275D2A"/>
    <w:rsid w:val="002A701E"/>
    <w:rsid w:val="002B18C4"/>
    <w:rsid w:val="002B5736"/>
    <w:rsid w:val="002C1DD4"/>
    <w:rsid w:val="002F28F1"/>
    <w:rsid w:val="002F3045"/>
    <w:rsid w:val="00300756"/>
    <w:rsid w:val="00305A48"/>
    <w:rsid w:val="00321014"/>
    <w:rsid w:val="00343DD9"/>
    <w:rsid w:val="003442F6"/>
    <w:rsid w:val="00345054"/>
    <w:rsid w:val="003478B6"/>
    <w:rsid w:val="00375F55"/>
    <w:rsid w:val="00391751"/>
    <w:rsid w:val="003A48A7"/>
    <w:rsid w:val="003A6E35"/>
    <w:rsid w:val="003B0E68"/>
    <w:rsid w:val="003B7686"/>
    <w:rsid w:val="003D4232"/>
    <w:rsid w:val="003D5C05"/>
    <w:rsid w:val="003E0666"/>
    <w:rsid w:val="0040432A"/>
    <w:rsid w:val="004279B3"/>
    <w:rsid w:val="00433FCB"/>
    <w:rsid w:val="00435BE0"/>
    <w:rsid w:val="00445691"/>
    <w:rsid w:val="00450B7F"/>
    <w:rsid w:val="00451277"/>
    <w:rsid w:val="00456CB4"/>
    <w:rsid w:val="0046214F"/>
    <w:rsid w:val="0048050A"/>
    <w:rsid w:val="00483FC8"/>
    <w:rsid w:val="004A656F"/>
    <w:rsid w:val="004C00A9"/>
    <w:rsid w:val="004C320F"/>
    <w:rsid w:val="004C610F"/>
    <w:rsid w:val="004E55CE"/>
    <w:rsid w:val="004F2979"/>
    <w:rsid w:val="004F5977"/>
    <w:rsid w:val="00517A79"/>
    <w:rsid w:val="00524914"/>
    <w:rsid w:val="005251B1"/>
    <w:rsid w:val="00560DA4"/>
    <w:rsid w:val="00562388"/>
    <w:rsid w:val="0058550E"/>
    <w:rsid w:val="00593F02"/>
    <w:rsid w:val="005A5720"/>
    <w:rsid w:val="005A7F37"/>
    <w:rsid w:val="005B480E"/>
    <w:rsid w:val="005B68CE"/>
    <w:rsid w:val="005B7A2E"/>
    <w:rsid w:val="005D1B02"/>
    <w:rsid w:val="005D20C8"/>
    <w:rsid w:val="005D4BC8"/>
    <w:rsid w:val="005D78BB"/>
    <w:rsid w:val="005E01B1"/>
    <w:rsid w:val="005E0459"/>
    <w:rsid w:val="005E0ABF"/>
    <w:rsid w:val="005E688C"/>
    <w:rsid w:val="005F25FC"/>
    <w:rsid w:val="005F3223"/>
    <w:rsid w:val="005F4284"/>
    <w:rsid w:val="005F5CB2"/>
    <w:rsid w:val="005F6C81"/>
    <w:rsid w:val="00606652"/>
    <w:rsid w:val="00612590"/>
    <w:rsid w:val="00614839"/>
    <w:rsid w:val="006159CE"/>
    <w:rsid w:val="006162C0"/>
    <w:rsid w:val="006217AD"/>
    <w:rsid w:val="00626FC8"/>
    <w:rsid w:val="00634875"/>
    <w:rsid w:val="00640D0B"/>
    <w:rsid w:val="00651019"/>
    <w:rsid w:val="00653C65"/>
    <w:rsid w:val="0066267D"/>
    <w:rsid w:val="006742D4"/>
    <w:rsid w:val="00675C71"/>
    <w:rsid w:val="00682DD4"/>
    <w:rsid w:val="00685573"/>
    <w:rsid w:val="00695B11"/>
    <w:rsid w:val="006A22DD"/>
    <w:rsid w:val="006D30D6"/>
    <w:rsid w:val="006D3457"/>
    <w:rsid w:val="006D6FDA"/>
    <w:rsid w:val="006E7186"/>
    <w:rsid w:val="006F345B"/>
    <w:rsid w:val="006F7EA6"/>
    <w:rsid w:val="00703EA1"/>
    <w:rsid w:val="007076A9"/>
    <w:rsid w:val="00707B8C"/>
    <w:rsid w:val="00723163"/>
    <w:rsid w:val="007247E9"/>
    <w:rsid w:val="00727917"/>
    <w:rsid w:val="00730A8A"/>
    <w:rsid w:val="0074184F"/>
    <w:rsid w:val="00743520"/>
    <w:rsid w:val="007452D8"/>
    <w:rsid w:val="00753431"/>
    <w:rsid w:val="00753C85"/>
    <w:rsid w:val="00774869"/>
    <w:rsid w:val="00795BFD"/>
    <w:rsid w:val="007B3EC5"/>
    <w:rsid w:val="007C244A"/>
    <w:rsid w:val="007C6AE7"/>
    <w:rsid w:val="007D3001"/>
    <w:rsid w:val="007D6B39"/>
    <w:rsid w:val="007E664C"/>
    <w:rsid w:val="0080277E"/>
    <w:rsid w:val="00811E27"/>
    <w:rsid w:val="008225CA"/>
    <w:rsid w:val="0082517B"/>
    <w:rsid w:val="0082650C"/>
    <w:rsid w:val="00837630"/>
    <w:rsid w:val="00855965"/>
    <w:rsid w:val="00860D51"/>
    <w:rsid w:val="008632FB"/>
    <w:rsid w:val="008722D1"/>
    <w:rsid w:val="008741A6"/>
    <w:rsid w:val="00874639"/>
    <w:rsid w:val="008764C3"/>
    <w:rsid w:val="00883AF8"/>
    <w:rsid w:val="0088591D"/>
    <w:rsid w:val="00894069"/>
    <w:rsid w:val="008B45FC"/>
    <w:rsid w:val="008C6D4D"/>
    <w:rsid w:val="008E22CE"/>
    <w:rsid w:val="008E2F56"/>
    <w:rsid w:val="008F0AE0"/>
    <w:rsid w:val="00900AFF"/>
    <w:rsid w:val="0090426F"/>
    <w:rsid w:val="00912BB5"/>
    <w:rsid w:val="00914B34"/>
    <w:rsid w:val="00933134"/>
    <w:rsid w:val="0093510A"/>
    <w:rsid w:val="0093648F"/>
    <w:rsid w:val="00951631"/>
    <w:rsid w:val="00953359"/>
    <w:rsid w:val="009550F0"/>
    <w:rsid w:val="00955726"/>
    <w:rsid w:val="00955AE4"/>
    <w:rsid w:val="00960836"/>
    <w:rsid w:val="00967D54"/>
    <w:rsid w:val="009A3C50"/>
    <w:rsid w:val="009B226C"/>
    <w:rsid w:val="009E4364"/>
    <w:rsid w:val="009E56DE"/>
    <w:rsid w:val="009E5F93"/>
    <w:rsid w:val="00A10146"/>
    <w:rsid w:val="00A301CF"/>
    <w:rsid w:val="00A378FD"/>
    <w:rsid w:val="00A5148A"/>
    <w:rsid w:val="00A531DB"/>
    <w:rsid w:val="00A55931"/>
    <w:rsid w:val="00A5780C"/>
    <w:rsid w:val="00A62C01"/>
    <w:rsid w:val="00A65C24"/>
    <w:rsid w:val="00A65E47"/>
    <w:rsid w:val="00A67B29"/>
    <w:rsid w:val="00A7629A"/>
    <w:rsid w:val="00A816AB"/>
    <w:rsid w:val="00A87FD4"/>
    <w:rsid w:val="00A9078F"/>
    <w:rsid w:val="00AA20EB"/>
    <w:rsid w:val="00AC7A88"/>
    <w:rsid w:val="00AD657B"/>
    <w:rsid w:val="00AE7B70"/>
    <w:rsid w:val="00AF5737"/>
    <w:rsid w:val="00AF7D2E"/>
    <w:rsid w:val="00B144C6"/>
    <w:rsid w:val="00B201A2"/>
    <w:rsid w:val="00B20943"/>
    <w:rsid w:val="00B409A2"/>
    <w:rsid w:val="00B42A98"/>
    <w:rsid w:val="00B44F4D"/>
    <w:rsid w:val="00B55B1F"/>
    <w:rsid w:val="00B71B62"/>
    <w:rsid w:val="00B73E7C"/>
    <w:rsid w:val="00B75962"/>
    <w:rsid w:val="00B92269"/>
    <w:rsid w:val="00BA116D"/>
    <w:rsid w:val="00BA4A8B"/>
    <w:rsid w:val="00BA755B"/>
    <w:rsid w:val="00BB506E"/>
    <w:rsid w:val="00BB71D0"/>
    <w:rsid w:val="00BD42E5"/>
    <w:rsid w:val="00BF1146"/>
    <w:rsid w:val="00C05FEF"/>
    <w:rsid w:val="00C20B39"/>
    <w:rsid w:val="00C24C09"/>
    <w:rsid w:val="00C24F41"/>
    <w:rsid w:val="00C34B44"/>
    <w:rsid w:val="00C45967"/>
    <w:rsid w:val="00C519CC"/>
    <w:rsid w:val="00C57C97"/>
    <w:rsid w:val="00C659B7"/>
    <w:rsid w:val="00C80344"/>
    <w:rsid w:val="00C81B7A"/>
    <w:rsid w:val="00C8650F"/>
    <w:rsid w:val="00CA33F0"/>
    <w:rsid w:val="00CA7B27"/>
    <w:rsid w:val="00CC1819"/>
    <w:rsid w:val="00CC4E15"/>
    <w:rsid w:val="00CD3FFC"/>
    <w:rsid w:val="00CD740D"/>
    <w:rsid w:val="00CF1B9A"/>
    <w:rsid w:val="00D13D8F"/>
    <w:rsid w:val="00D306FA"/>
    <w:rsid w:val="00D34AED"/>
    <w:rsid w:val="00D36AA9"/>
    <w:rsid w:val="00D37002"/>
    <w:rsid w:val="00D37BFB"/>
    <w:rsid w:val="00D47CDB"/>
    <w:rsid w:val="00D51176"/>
    <w:rsid w:val="00D74D79"/>
    <w:rsid w:val="00D84B49"/>
    <w:rsid w:val="00D97775"/>
    <w:rsid w:val="00DA4405"/>
    <w:rsid w:val="00DC7B18"/>
    <w:rsid w:val="00DD7143"/>
    <w:rsid w:val="00DE2A62"/>
    <w:rsid w:val="00DE771D"/>
    <w:rsid w:val="00DF0DE0"/>
    <w:rsid w:val="00DF4091"/>
    <w:rsid w:val="00DF7D83"/>
    <w:rsid w:val="00E04F33"/>
    <w:rsid w:val="00E43F14"/>
    <w:rsid w:val="00E445FF"/>
    <w:rsid w:val="00E5689A"/>
    <w:rsid w:val="00E61ABF"/>
    <w:rsid w:val="00E65442"/>
    <w:rsid w:val="00E70982"/>
    <w:rsid w:val="00E77AC7"/>
    <w:rsid w:val="00E84B46"/>
    <w:rsid w:val="00E90C0F"/>
    <w:rsid w:val="00E91835"/>
    <w:rsid w:val="00EB0F56"/>
    <w:rsid w:val="00EB5DA3"/>
    <w:rsid w:val="00EB76FF"/>
    <w:rsid w:val="00ED4CA3"/>
    <w:rsid w:val="00F2797F"/>
    <w:rsid w:val="00F5312A"/>
    <w:rsid w:val="00F553B3"/>
    <w:rsid w:val="00F5697A"/>
    <w:rsid w:val="00F62418"/>
    <w:rsid w:val="00F65BB4"/>
    <w:rsid w:val="00F75B20"/>
    <w:rsid w:val="00F80CE8"/>
    <w:rsid w:val="00F934D7"/>
    <w:rsid w:val="00F96A02"/>
    <w:rsid w:val="00FB3254"/>
    <w:rsid w:val="00FE16CA"/>
    <w:rsid w:val="00FE501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8766"/>
  <w15:docId w15:val="{456EA353-E30A-488A-91E6-707647C8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553B3"/>
    <w:rPr>
      <w:rFonts w:asciiTheme="majorHAnsi" w:eastAsiaTheme="majorEastAsia" w:hAnsiTheme="majorHAnsi" w:cstheme="majorBidi"/>
      <w:sz w:val="18"/>
      <w:szCs w:val="18"/>
    </w:rPr>
  </w:style>
  <w:style w:type="paragraph" w:styleId="a5">
    <w:name w:val="header"/>
    <w:basedOn w:val="a"/>
    <w:link w:val="a6"/>
    <w:uiPriority w:val="99"/>
    <w:unhideWhenUsed/>
    <w:rsid w:val="005251B1"/>
    <w:pPr>
      <w:tabs>
        <w:tab w:val="center" w:pos="4153"/>
        <w:tab w:val="right" w:pos="8306"/>
      </w:tabs>
      <w:snapToGrid w:val="0"/>
    </w:pPr>
    <w:rPr>
      <w:sz w:val="20"/>
      <w:szCs w:val="20"/>
    </w:rPr>
  </w:style>
  <w:style w:type="character" w:customStyle="1" w:styleId="a6">
    <w:name w:val="頁首 字元"/>
    <w:basedOn w:val="a0"/>
    <w:link w:val="a5"/>
    <w:uiPriority w:val="99"/>
    <w:rsid w:val="005251B1"/>
    <w:rPr>
      <w:sz w:val="20"/>
      <w:szCs w:val="20"/>
    </w:rPr>
  </w:style>
  <w:style w:type="paragraph" w:styleId="a7">
    <w:name w:val="footer"/>
    <w:basedOn w:val="a"/>
    <w:link w:val="a8"/>
    <w:uiPriority w:val="99"/>
    <w:unhideWhenUsed/>
    <w:rsid w:val="005251B1"/>
    <w:pPr>
      <w:tabs>
        <w:tab w:val="center" w:pos="4153"/>
        <w:tab w:val="right" w:pos="8306"/>
      </w:tabs>
      <w:snapToGrid w:val="0"/>
    </w:pPr>
    <w:rPr>
      <w:sz w:val="20"/>
      <w:szCs w:val="20"/>
    </w:rPr>
  </w:style>
  <w:style w:type="character" w:customStyle="1" w:styleId="a8">
    <w:name w:val="頁尾 字元"/>
    <w:basedOn w:val="a0"/>
    <w:link w:val="a7"/>
    <w:uiPriority w:val="99"/>
    <w:rsid w:val="005251B1"/>
    <w:rPr>
      <w:sz w:val="20"/>
      <w:szCs w:val="20"/>
    </w:rPr>
  </w:style>
  <w:style w:type="table" w:styleId="a9">
    <w:name w:val="Table Grid"/>
    <w:basedOn w:val="a1"/>
    <w:rsid w:val="005251B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6D30D6"/>
  </w:style>
  <w:style w:type="paragraph" w:styleId="aa">
    <w:name w:val="List Paragraph"/>
    <w:basedOn w:val="a"/>
    <w:uiPriority w:val="99"/>
    <w:qFormat/>
    <w:rsid w:val="00951631"/>
    <w:pPr>
      <w:ind w:leftChars="200" w:left="480"/>
    </w:pPr>
  </w:style>
  <w:style w:type="character" w:styleId="ab">
    <w:name w:val="Hyperlink"/>
    <w:basedOn w:val="a0"/>
    <w:uiPriority w:val="99"/>
    <w:unhideWhenUsed/>
    <w:rsid w:val="00B144C6"/>
    <w:rPr>
      <w:color w:val="0000FF"/>
      <w:u w:val="single"/>
    </w:rPr>
  </w:style>
  <w:style w:type="paragraph" w:styleId="Web">
    <w:name w:val="Normal (Web)"/>
    <w:basedOn w:val="a"/>
    <w:uiPriority w:val="99"/>
    <w:semiHidden/>
    <w:unhideWhenUsed/>
    <w:rsid w:val="00093242"/>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F2797F"/>
    <w:rPr>
      <w:sz w:val="18"/>
      <w:szCs w:val="18"/>
    </w:rPr>
  </w:style>
  <w:style w:type="paragraph" w:styleId="ad">
    <w:name w:val="annotation text"/>
    <w:basedOn w:val="a"/>
    <w:link w:val="ae"/>
    <w:uiPriority w:val="99"/>
    <w:semiHidden/>
    <w:unhideWhenUsed/>
    <w:rsid w:val="00F2797F"/>
  </w:style>
  <w:style w:type="character" w:customStyle="1" w:styleId="ae">
    <w:name w:val="註解文字 字元"/>
    <w:basedOn w:val="a0"/>
    <w:link w:val="ad"/>
    <w:uiPriority w:val="99"/>
    <w:semiHidden/>
    <w:rsid w:val="00F2797F"/>
  </w:style>
  <w:style w:type="paragraph" w:styleId="af">
    <w:name w:val="annotation subject"/>
    <w:basedOn w:val="ad"/>
    <w:next w:val="ad"/>
    <w:link w:val="af0"/>
    <w:uiPriority w:val="99"/>
    <w:semiHidden/>
    <w:unhideWhenUsed/>
    <w:rsid w:val="00F2797F"/>
    <w:rPr>
      <w:b/>
      <w:bCs/>
    </w:rPr>
  </w:style>
  <w:style w:type="character" w:customStyle="1" w:styleId="af0">
    <w:name w:val="註解主旨 字元"/>
    <w:basedOn w:val="ae"/>
    <w:link w:val="af"/>
    <w:uiPriority w:val="99"/>
    <w:semiHidden/>
    <w:rsid w:val="00F2797F"/>
    <w:rPr>
      <w:b/>
      <w:bCs/>
    </w:rPr>
  </w:style>
  <w:style w:type="paragraph" w:styleId="af1">
    <w:name w:val="Revision"/>
    <w:hidden/>
    <w:uiPriority w:val="99"/>
    <w:semiHidden/>
    <w:rsid w:val="00651019"/>
  </w:style>
  <w:style w:type="character" w:styleId="af2">
    <w:name w:val="Unresolved Mention"/>
    <w:basedOn w:val="a0"/>
    <w:uiPriority w:val="99"/>
    <w:semiHidden/>
    <w:unhideWhenUsed/>
    <w:rsid w:val="00723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00197">
      <w:bodyDiv w:val="1"/>
      <w:marLeft w:val="0"/>
      <w:marRight w:val="0"/>
      <w:marTop w:val="0"/>
      <w:marBottom w:val="0"/>
      <w:divBdr>
        <w:top w:val="none" w:sz="0" w:space="0" w:color="auto"/>
        <w:left w:val="none" w:sz="0" w:space="0" w:color="auto"/>
        <w:bottom w:val="none" w:sz="0" w:space="0" w:color="auto"/>
        <w:right w:val="none" w:sz="0" w:space="0" w:color="auto"/>
      </w:divBdr>
      <w:divsChild>
        <w:div w:id="1311443088">
          <w:marLeft w:val="0"/>
          <w:marRight w:val="0"/>
          <w:marTop w:val="0"/>
          <w:marBottom w:val="120"/>
          <w:divBdr>
            <w:top w:val="none" w:sz="0" w:space="0" w:color="auto"/>
            <w:left w:val="none" w:sz="0" w:space="0" w:color="auto"/>
            <w:bottom w:val="none" w:sz="0" w:space="0" w:color="auto"/>
            <w:right w:val="none" w:sz="0" w:space="0" w:color="auto"/>
          </w:divBdr>
        </w:div>
      </w:divsChild>
    </w:div>
    <w:div w:id="1107771452">
      <w:bodyDiv w:val="1"/>
      <w:marLeft w:val="0"/>
      <w:marRight w:val="0"/>
      <w:marTop w:val="0"/>
      <w:marBottom w:val="0"/>
      <w:divBdr>
        <w:top w:val="none" w:sz="0" w:space="0" w:color="auto"/>
        <w:left w:val="none" w:sz="0" w:space="0" w:color="auto"/>
        <w:bottom w:val="none" w:sz="0" w:space="0" w:color="auto"/>
        <w:right w:val="none" w:sz="0" w:space="0" w:color="auto"/>
      </w:divBdr>
    </w:div>
    <w:div w:id="18613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r.f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5F7A-2EAE-4F88-BD39-77E1A001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452</Words>
  <Characters>2578</Characters>
  <Application>Microsoft Office Word</Application>
  <DocSecurity>0</DocSecurity>
  <Lines>21</Lines>
  <Paragraphs>6</Paragraphs>
  <ScaleCrop>false</ScaleCrop>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陳音沅</dc:creator>
  <cp:lastModifiedBy>黃暐涵</cp:lastModifiedBy>
  <cp:revision>4</cp:revision>
  <cp:lastPrinted>2020-11-03T06:19:00Z</cp:lastPrinted>
  <dcterms:created xsi:type="dcterms:W3CDTF">2022-06-20T05:09:00Z</dcterms:created>
  <dcterms:modified xsi:type="dcterms:W3CDTF">2022-06-21T06:47:00Z</dcterms:modified>
</cp:coreProperties>
</file>