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09B8" w14:textId="3F5EDB11" w:rsidR="002D4C42" w:rsidRPr="00764570" w:rsidRDefault="00D72228" w:rsidP="00764570">
      <w:pPr>
        <w:jc w:val="center"/>
        <w:rPr>
          <w:rFonts w:ascii="標楷體" w:eastAsia="標楷體" w:hAnsi="標楷體"/>
          <w:b/>
          <w:bCs/>
        </w:rPr>
      </w:pPr>
      <w:r w:rsidRPr="00D72228">
        <w:rPr>
          <w:rFonts w:ascii="標楷體" w:eastAsia="標楷體" w:hAnsi="標楷體"/>
          <w:b/>
          <w:bCs/>
          <w:noProof/>
          <w:sz w:val="32"/>
          <w:szCs w:val="28"/>
        </w:rPr>
        <mc:AlternateContent>
          <mc:Choice Requires="wps">
            <w:drawing>
              <wp:anchor distT="45720" distB="45720" distL="114300" distR="114300" simplePos="0" relativeHeight="251659264" behindDoc="0" locked="0" layoutInCell="1" allowOverlap="1" wp14:anchorId="3506DFBC" wp14:editId="70DA7571">
                <wp:simplePos x="0" y="0"/>
                <wp:positionH relativeFrom="margin">
                  <wp:align>right</wp:align>
                </wp:positionH>
                <wp:positionV relativeFrom="paragraph">
                  <wp:posOffset>102870</wp:posOffset>
                </wp:positionV>
                <wp:extent cx="670560" cy="289560"/>
                <wp:effectExtent l="0" t="0" r="1524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noFill/>
                        <a:ln w="9525">
                          <a:solidFill>
                            <a:srgbClr val="000000"/>
                          </a:solidFill>
                          <a:miter lim="800000"/>
                          <a:headEnd/>
                          <a:tailEnd/>
                        </a:ln>
                      </wps:spPr>
                      <wps:txbx>
                        <w:txbxContent>
                          <w:p w14:paraId="2043D895" w14:textId="5936AB5D" w:rsidR="00D72228" w:rsidRPr="00D72228" w:rsidRDefault="00D72228">
                            <w:pPr>
                              <w:rPr>
                                <w:rFonts w:ascii="標楷體" w:eastAsia="標楷體" w:hAnsi="標楷體"/>
                              </w:rPr>
                            </w:pPr>
                            <w:r w:rsidRPr="00D72228">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6DFBC" id="_x0000_t202" coordsize="21600,21600" o:spt="202" path="m,l,21600r21600,l21600,xe">
                <v:stroke joinstyle="miter"/>
                <v:path gradientshapeok="t" o:connecttype="rect"/>
              </v:shapetype>
              <v:shape id="文字方塊 2" o:spid="_x0000_s1026" type="#_x0000_t202" style="position:absolute;left:0;text-align:left;margin-left:1.6pt;margin-top:8.1pt;width:52.8pt;height:2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" filled="f">
                <v:textbox>
                  <w:txbxContent>
                    <w:p w14:paraId="2043D895" w14:textId="5936AB5D" w:rsidR="00D72228" w:rsidRPr="00D72228" w:rsidRDefault="00D72228">
                      <w:pPr>
                        <w:rPr>
                          <w:rFonts w:ascii="標楷體" w:eastAsia="標楷體" w:hAnsi="標楷體"/>
                        </w:rPr>
                      </w:pPr>
                      <w:r w:rsidRPr="00D72228">
                        <w:rPr>
                          <w:rFonts w:ascii="標楷體" w:eastAsia="標楷體" w:hAnsi="標楷體" w:hint="eastAsia"/>
                        </w:rPr>
                        <w:t>附件二</w:t>
                      </w:r>
                    </w:p>
                  </w:txbxContent>
                </v:textbox>
                <w10:wrap type="square" anchorx="margin"/>
              </v:shape>
            </w:pict>
          </mc:Fallback>
        </mc:AlternateContent>
      </w:r>
      <w:r w:rsidR="00764570">
        <w:rPr>
          <w:rFonts w:ascii="標楷體" w:eastAsia="標楷體" w:hAnsi="標楷體" w:hint="eastAsia"/>
          <w:b/>
          <w:bCs/>
          <w:sz w:val="32"/>
          <w:szCs w:val="28"/>
        </w:rPr>
        <w:t>二、</w:t>
      </w:r>
      <w:r w:rsidR="00240965" w:rsidRPr="00764570">
        <w:rPr>
          <w:rFonts w:ascii="標楷體" w:eastAsia="標楷體" w:hAnsi="標楷體" w:hint="eastAsia"/>
          <w:b/>
          <w:bCs/>
          <w:sz w:val="32"/>
          <w:szCs w:val="28"/>
        </w:rPr>
        <w:t>再生醫療</w:t>
      </w:r>
      <w:r w:rsidR="00702FA7" w:rsidRPr="00764570">
        <w:rPr>
          <w:rFonts w:ascii="標楷體" w:eastAsia="標楷體" w:hAnsi="標楷體" w:hint="eastAsia"/>
          <w:b/>
          <w:bCs/>
          <w:sz w:val="32"/>
          <w:szCs w:val="28"/>
        </w:rPr>
        <w:t>製劑條例</w:t>
      </w:r>
      <w:r w:rsidR="00240965" w:rsidRPr="00764570">
        <w:rPr>
          <w:rFonts w:ascii="標楷體" w:eastAsia="標楷體" w:hAnsi="標楷體" w:hint="eastAsia"/>
          <w:b/>
          <w:bCs/>
          <w:sz w:val="32"/>
          <w:szCs w:val="28"/>
        </w:rPr>
        <w:t>草案</w:t>
      </w:r>
      <w:proofErr w:type="gramStart"/>
      <w:r w:rsidR="00240965" w:rsidRPr="00764570">
        <w:rPr>
          <w:rFonts w:ascii="標楷體" w:eastAsia="標楷體" w:hAnsi="標楷體" w:hint="eastAsia"/>
          <w:b/>
          <w:bCs/>
          <w:sz w:val="32"/>
          <w:szCs w:val="28"/>
        </w:rPr>
        <w:t>—</w:t>
      </w:r>
      <w:proofErr w:type="gramEnd"/>
      <w:r w:rsidR="00240965" w:rsidRPr="00764570">
        <w:rPr>
          <w:rFonts w:ascii="標楷體" w:eastAsia="標楷體" w:hAnsi="標楷體" w:hint="eastAsia"/>
          <w:b/>
          <w:bCs/>
          <w:sz w:val="32"/>
          <w:szCs w:val="28"/>
        </w:rPr>
        <w:t>建議修正條文</w:t>
      </w:r>
      <w:r w:rsidR="000200F9">
        <w:rPr>
          <w:rFonts w:ascii="標楷體" w:eastAsia="標楷體" w:hAnsi="標楷體" w:hint="eastAsia"/>
          <w:b/>
          <w:bCs/>
          <w:sz w:val="32"/>
          <w:szCs w:val="28"/>
        </w:rPr>
        <w:t>(草案)</w:t>
      </w:r>
    </w:p>
    <w:tbl>
      <w:tblPr>
        <w:tblStyle w:val="a4"/>
        <w:tblW w:w="0" w:type="auto"/>
        <w:tblLook w:val="04A0" w:firstRow="1" w:lastRow="0" w:firstColumn="1" w:lastColumn="0" w:noHBand="0" w:noVBand="1"/>
      </w:tblPr>
      <w:tblGrid>
        <w:gridCol w:w="3209"/>
        <w:gridCol w:w="3209"/>
        <w:gridCol w:w="3210"/>
      </w:tblGrid>
      <w:tr w:rsidR="00196A2B" w:rsidRPr="00862C87" w14:paraId="629DA807" w14:textId="403E5F54" w:rsidTr="00206A0F">
        <w:trPr>
          <w:trHeight w:val="356"/>
          <w:tblHeader/>
        </w:trPr>
        <w:tc>
          <w:tcPr>
            <w:tcW w:w="3209" w:type="dxa"/>
            <w:tcBorders>
              <w:bottom w:val="double" w:sz="4" w:space="0" w:color="auto"/>
            </w:tcBorders>
            <w:shd w:val="clear" w:color="auto" w:fill="D9D9D9" w:themeFill="background1" w:themeFillShade="D9"/>
          </w:tcPr>
          <w:p w14:paraId="3BBB2BC7" w14:textId="630C4E69" w:rsidR="00196A2B" w:rsidRPr="00862C87" w:rsidRDefault="00196A2B" w:rsidP="00240965">
            <w:pPr>
              <w:jc w:val="center"/>
              <w:rPr>
                <w:rFonts w:ascii="標楷體" w:eastAsia="標楷體" w:hAnsi="標楷體"/>
                <w:b/>
                <w:bCs/>
              </w:rPr>
            </w:pPr>
            <w:r w:rsidRPr="00862C87">
              <w:rPr>
                <w:rFonts w:ascii="標楷體" w:eastAsia="標楷體" w:hAnsi="標楷體" w:hint="eastAsia"/>
                <w:b/>
                <w:bCs/>
              </w:rPr>
              <w:t>建議修正條文</w:t>
            </w:r>
          </w:p>
        </w:tc>
        <w:tc>
          <w:tcPr>
            <w:tcW w:w="3209" w:type="dxa"/>
            <w:tcBorders>
              <w:bottom w:val="double" w:sz="4" w:space="0" w:color="auto"/>
            </w:tcBorders>
            <w:shd w:val="clear" w:color="auto" w:fill="D9D9D9" w:themeFill="background1" w:themeFillShade="D9"/>
          </w:tcPr>
          <w:p w14:paraId="168B551A" w14:textId="64A69D2F" w:rsidR="00196A2B" w:rsidRPr="00764570" w:rsidRDefault="00196A2B" w:rsidP="00240965">
            <w:pPr>
              <w:jc w:val="center"/>
              <w:rPr>
                <w:rFonts w:ascii="標楷體" w:eastAsia="標楷體" w:hAnsi="標楷體"/>
                <w:b/>
                <w:bCs/>
              </w:rPr>
            </w:pPr>
            <w:r w:rsidRPr="00862C87">
              <w:rPr>
                <w:rFonts w:ascii="標楷體" w:eastAsia="標楷體" w:hAnsi="標楷體" w:hint="eastAsia"/>
                <w:b/>
                <w:bCs/>
              </w:rPr>
              <w:t>112.2.2</w:t>
            </w:r>
            <w:proofErr w:type="gramStart"/>
            <w:r>
              <w:rPr>
                <w:rFonts w:ascii="標楷體" w:eastAsia="標楷體" w:hAnsi="標楷體" w:hint="eastAsia"/>
                <w:b/>
                <w:bCs/>
              </w:rPr>
              <w:t>食藥署</w:t>
            </w:r>
            <w:proofErr w:type="gramEnd"/>
            <w:r>
              <w:rPr>
                <w:rFonts w:ascii="標楷體" w:eastAsia="標楷體" w:hAnsi="標楷體" w:hint="eastAsia"/>
                <w:b/>
                <w:bCs/>
              </w:rPr>
              <w:t>版</w:t>
            </w:r>
          </w:p>
        </w:tc>
        <w:tc>
          <w:tcPr>
            <w:tcW w:w="3210" w:type="dxa"/>
            <w:tcBorders>
              <w:bottom w:val="double" w:sz="4" w:space="0" w:color="auto"/>
            </w:tcBorders>
            <w:shd w:val="clear" w:color="auto" w:fill="D9D9D9" w:themeFill="background1" w:themeFillShade="D9"/>
          </w:tcPr>
          <w:p w14:paraId="7A4C77D2" w14:textId="6E390AC0" w:rsidR="00196A2B" w:rsidRPr="00862C87" w:rsidRDefault="00196A2B" w:rsidP="00240965">
            <w:pPr>
              <w:jc w:val="center"/>
              <w:rPr>
                <w:rFonts w:ascii="標楷體" w:eastAsia="標楷體" w:hAnsi="標楷體"/>
                <w:b/>
                <w:bCs/>
              </w:rPr>
            </w:pPr>
            <w:r w:rsidRPr="00862C87">
              <w:rPr>
                <w:rFonts w:ascii="標楷體" w:eastAsia="標楷體" w:hAnsi="標楷體" w:hint="eastAsia"/>
                <w:b/>
                <w:bCs/>
              </w:rPr>
              <w:t>說明</w:t>
            </w:r>
          </w:p>
        </w:tc>
      </w:tr>
      <w:tr w:rsidR="00196A2B" w:rsidRPr="00862C87" w14:paraId="25837384" w14:textId="158A18F6" w:rsidTr="00206A0F">
        <w:trPr>
          <w:trHeight w:val="5777"/>
        </w:trPr>
        <w:tc>
          <w:tcPr>
            <w:tcW w:w="3209" w:type="dxa"/>
            <w:tcBorders>
              <w:top w:val="double" w:sz="4" w:space="0" w:color="auto"/>
            </w:tcBorders>
          </w:tcPr>
          <w:p w14:paraId="4A4B99B2" w14:textId="77777777" w:rsidR="00196A2B" w:rsidRPr="00862C87" w:rsidRDefault="00196A2B" w:rsidP="0060696A">
            <w:pPr>
              <w:rPr>
                <w:rFonts w:ascii="標楷體" w:eastAsia="標楷體" w:hAnsi="標楷體"/>
              </w:rPr>
            </w:pPr>
            <w:r w:rsidRPr="00862C87">
              <w:rPr>
                <w:rFonts w:ascii="標楷體" w:eastAsia="標楷體" w:hAnsi="標楷體" w:hint="eastAsia"/>
              </w:rPr>
              <w:t>第五條</w:t>
            </w:r>
          </w:p>
          <w:p w14:paraId="22459A53" w14:textId="3F67C221" w:rsidR="00196A2B" w:rsidRPr="00862C87" w:rsidRDefault="00196A2B" w:rsidP="00764570">
            <w:pPr>
              <w:ind w:firstLineChars="118" w:firstLine="283"/>
              <w:rPr>
                <w:rFonts w:ascii="標楷體" w:eastAsia="標楷體" w:hAnsi="標楷體"/>
              </w:rPr>
            </w:pPr>
            <w:r w:rsidRPr="00862C87">
              <w:rPr>
                <w:rFonts w:ascii="標楷體" w:eastAsia="標楷體" w:hAnsi="標楷體" w:hint="eastAsia"/>
              </w:rPr>
              <w:t>再生醫療製劑之販賣業者及製造業者(以下</w:t>
            </w:r>
            <w:proofErr w:type="gramStart"/>
            <w:r w:rsidRPr="00862C87">
              <w:rPr>
                <w:rFonts w:ascii="標楷體" w:eastAsia="標楷體" w:hAnsi="標楷體" w:hint="eastAsia"/>
              </w:rPr>
              <w:t>併</w:t>
            </w:r>
            <w:proofErr w:type="gramEnd"/>
            <w:r w:rsidRPr="00862C87">
              <w:rPr>
                <w:rFonts w:ascii="標楷體" w:eastAsia="標楷體" w:hAnsi="標楷體" w:hint="eastAsia"/>
              </w:rPr>
              <w:t>稱藥商)，為藥事法第十五條第一款之藥品販賣業者及第十六條第一項之藥品製造業者。</w:t>
            </w:r>
          </w:p>
          <w:p w14:paraId="4095AE96" w14:textId="5830F2F8" w:rsidR="00196A2B" w:rsidRDefault="00196A2B" w:rsidP="00157505">
            <w:pPr>
              <w:ind w:firstLineChars="118" w:firstLine="283"/>
              <w:jc w:val="both"/>
              <w:rPr>
                <w:rFonts w:ascii="標楷體" w:eastAsia="標楷體" w:hAnsi="標楷體"/>
                <w:b/>
                <w:bCs/>
                <w:u w:val="single"/>
              </w:rPr>
            </w:pPr>
            <w:r w:rsidRPr="00196A2B">
              <w:rPr>
                <w:rFonts w:ascii="標楷體" w:eastAsia="標楷體" w:hAnsi="標楷體" w:hint="eastAsia"/>
                <w:b/>
                <w:bCs/>
                <w:u w:val="single"/>
              </w:rPr>
              <w:t>再生醫療</w:t>
            </w:r>
            <w:r w:rsidR="000D7B81" w:rsidRPr="00A45A0A">
              <w:rPr>
                <w:rFonts w:ascii="標楷體" w:eastAsia="標楷體" w:hAnsi="標楷體" w:hint="eastAsia"/>
                <w:b/>
                <w:bCs/>
                <w:u w:val="single"/>
              </w:rPr>
              <w:t>法</w:t>
            </w:r>
            <w:r w:rsidRPr="00196A2B">
              <w:rPr>
                <w:rFonts w:ascii="標楷體" w:eastAsia="標楷體" w:hAnsi="標楷體" w:hint="eastAsia"/>
                <w:b/>
                <w:bCs/>
                <w:u w:val="single"/>
              </w:rPr>
              <w:t>所定再生醫療生技醫藥公司申請為前項藥商，得聘用國內外大學院校以上醫藥或生命科學等相關科系畢業，且具有細胞學、微生物學或免疫學專門知識之專任人員，駐廠監製或駐店管理，</w:t>
            </w:r>
            <w:proofErr w:type="gramStart"/>
            <w:r w:rsidRPr="00196A2B">
              <w:rPr>
                <w:rFonts w:ascii="標楷體" w:eastAsia="標楷體" w:hAnsi="標楷體" w:hint="eastAsia"/>
                <w:b/>
                <w:bCs/>
                <w:u w:val="single"/>
              </w:rPr>
              <w:t>不受藥事</w:t>
            </w:r>
            <w:proofErr w:type="gramEnd"/>
            <w:r w:rsidRPr="00196A2B">
              <w:rPr>
                <w:rFonts w:ascii="標楷體" w:eastAsia="標楷體" w:hAnsi="標楷體" w:hint="eastAsia"/>
                <w:b/>
                <w:bCs/>
                <w:u w:val="single"/>
              </w:rPr>
              <w:t>法第二十八條第一項及第二十九條第一項規定之限制。</w:t>
            </w:r>
          </w:p>
          <w:p w14:paraId="5543EE62" w14:textId="608099B5" w:rsidR="00CF46F9" w:rsidRPr="006A78F5" w:rsidRDefault="00CF46F9" w:rsidP="00157505">
            <w:pPr>
              <w:ind w:firstLineChars="118" w:firstLine="283"/>
              <w:jc w:val="both"/>
              <w:rPr>
                <w:rFonts w:ascii="標楷體" w:eastAsia="標楷體" w:hAnsi="標楷體"/>
                <w:b/>
                <w:bCs/>
                <w:u w:val="single"/>
              </w:rPr>
            </w:pPr>
          </w:p>
        </w:tc>
        <w:tc>
          <w:tcPr>
            <w:tcW w:w="3209" w:type="dxa"/>
            <w:tcBorders>
              <w:top w:val="double" w:sz="4" w:space="0" w:color="auto"/>
            </w:tcBorders>
          </w:tcPr>
          <w:p w14:paraId="0EE49BE7" w14:textId="77777777" w:rsidR="00196A2B" w:rsidRDefault="00196A2B" w:rsidP="00330BB6">
            <w:pPr>
              <w:rPr>
                <w:rFonts w:ascii="標楷體" w:eastAsia="標楷體" w:hAnsi="標楷體"/>
              </w:rPr>
            </w:pPr>
            <w:r>
              <w:rPr>
                <w:rFonts w:ascii="標楷體" w:eastAsia="標楷體" w:hAnsi="標楷體" w:hint="eastAsia"/>
              </w:rPr>
              <w:t>第五條</w:t>
            </w:r>
          </w:p>
          <w:p w14:paraId="2A1CF746" w14:textId="0DBD000D" w:rsidR="00196A2B" w:rsidRPr="00862C87" w:rsidRDefault="00196A2B" w:rsidP="00157505">
            <w:pPr>
              <w:ind w:firstLineChars="117" w:firstLine="281"/>
              <w:jc w:val="both"/>
              <w:rPr>
                <w:rFonts w:ascii="標楷體" w:eastAsia="標楷體" w:hAnsi="標楷體"/>
              </w:rPr>
            </w:pPr>
            <w:r>
              <w:rPr>
                <w:rFonts w:ascii="標楷體" w:eastAsia="標楷體" w:hAnsi="標楷體" w:hint="eastAsia"/>
              </w:rPr>
              <w:t>再生醫療製劑之販賣業者及製造業者(以下</w:t>
            </w:r>
            <w:proofErr w:type="gramStart"/>
            <w:r>
              <w:rPr>
                <w:rFonts w:ascii="標楷體" w:eastAsia="標楷體" w:hAnsi="標楷體" w:hint="eastAsia"/>
              </w:rPr>
              <w:t>併</w:t>
            </w:r>
            <w:proofErr w:type="gramEnd"/>
            <w:r>
              <w:rPr>
                <w:rFonts w:ascii="標楷體" w:eastAsia="標楷體" w:hAnsi="標楷體" w:hint="eastAsia"/>
              </w:rPr>
              <w:t>稱藥商)，為藥事法第十五條第一款之藥品販賣業者及第十六條第一項之藥品製造業者。</w:t>
            </w:r>
          </w:p>
        </w:tc>
        <w:tc>
          <w:tcPr>
            <w:tcW w:w="3210" w:type="dxa"/>
            <w:tcBorders>
              <w:top w:val="double" w:sz="4" w:space="0" w:color="auto"/>
            </w:tcBorders>
          </w:tcPr>
          <w:p w14:paraId="344711D2" w14:textId="3C82FB7F" w:rsidR="00196A2B" w:rsidRPr="00862C87" w:rsidRDefault="000D7B81" w:rsidP="000D7B81">
            <w:pPr>
              <w:jc w:val="both"/>
              <w:rPr>
                <w:rFonts w:ascii="標楷體" w:eastAsia="標楷體" w:hAnsi="標楷體"/>
              </w:rPr>
            </w:pPr>
            <w:r w:rsidRPr="00A45A0A">
              <w:rPr>
                <w:rFonts w:ascii="標楷體" w:eastAsia="標楷體" w:hAnsi="標楷體" w:hint="eastAsia"/>
              </w:rPr>
              <w:t>為廣納再生醫療領域的專業人才，</w:t>
            </w:r>
            <w:r w:rsidR="00196A2B" w:rsidRPr="00A45A0A">
              <w:rPr>
                <w:rFonts w:ascii="標楷體" w:eastAsia="標楷體" w:hAnsi="標楷體"/>
              </w:rPr>
              <w:t>再生醫療製劑販賣、製造從業人員資格不以藥事人員為限</w:t>
            </w:r>
            <w:r w:rsidR="00196A2B" w:rsidRPr="00A45A0A">
              <w:rPr>
                <w:rFonts w:ascii="標楷體" w:eastAsia="標楷體" w:hAnsi="標楷體" w:hint="eastAsia"/>
              </w:rPr>
              <w:t>。</w:t>
            </w:r>
            <w:proofErr w:type="gramStart"/>
            <w:r w:rsidR="00196A2B" w:rsidRPr="00A45A0A">
              <w:rPr>
                <w:rFonts w:ascii="標楷體" w:eastAsia="標楷體" w:hAnsi="標楷體" w:hint="eastAsia"/>
              </w:rPr>
              <w:t>爰</w:t>
            </w:r>
            <w:proofErr w:type="gramEnd"/>
            <w:r w:rsidR="00196A2B" w:rsidRPr="00A45A0A">
              <w:rPr>
                <w:rFonts w:ascii="標楷體" w:eastAsia="標楷體" w:hAnsi="標楷體" w:hint="eastAsia"/>
              </w:rPr>
              <w:t>增訂第</w:t>
            </w:r>
            <w:r w:rsidRPr="00A45A0A">
              <w:rPr>
                <w:rFonts w:ascii="標楷體" w:eastAsia="標楷體" w:hAnsi="標楷體" w:hint="eastAsia"/>
              </w:rPr>
              <w:t>二</w:t>
            </w:r>
            <w:r w:rsidR="00196A2B">
              <w:rPr>
                <w:rFonts w:ascii="標楷體" w:eastAsia="標楷體" w:hAnsi="標楷體" w:hint="eastAsia"/>
              </w:rPr>
              <w:t>項。</w:t>
            </w:r>
          </w:p>
        </w:tc>
      </w:tr>
      <w:tr w:rsidR="00196A2B" w:rsidRPr="00862C87" w14:paraId="3212F972" w14:textId="1E3A468E" w:rsidTr="00206A0F">
        <w:trPr>
          <w:trHeight w:val="356"/>
        </w:trPr>
        <w:tc>
          <w:tcPr>
            <w:tcW w:w="3209" w:type="dxa"/>
          </w:tcPr>
          <w:p w14:paraId="2BCC07CB" w14:textId="77777777" w:rsidR="00196A2B" w:rsidRPr="00862C87" w:rsidRDefault="00196A2B" w:rsidP="0060696A">
            <w:pPr>
              <w:rPr>
                <w:rFonts w:ascii="標楷體" w:eastAsia="標楷體" w:hAnsi="標楷體"/>
              </w:rPr>
            </w:pPr>
            <w:r w:rsidRPr="00862C87">
              <w:rPr>
                <w:rFonts w:ascii="標楷體" w:eastAsia="標楷體" w:hAnsi="標楷體" w:hint="eastAsia"/>
              </w:rPr>
              <w:t>第六條第一項</w:t>
            </w:r>
          </w:p>
          <w:p w14:paraId="018D1976" w14:textId="13C9FE71" w:rsidR="00196A2B" w:rsidRDefault="00196A2B" w:rsidP="003A026B">
            <w:pPr>
              <w:ind w:firstLineChars="118" w:firstLine="283"/>
              <w:rPr>
                <w:rFonts w:ascii="標楷體" w:eastAsia="標楷體" w:hAnsi="標楷體"/>
              </w:rPr>
            </w:pPr>
            <w:r w:rsidRPr="00862C87">
              <w:rPr>
                <w:rFonts w:ascii="標楷體" w:eastAsia="標楷體" w:hAnsi="標楷體" w:hint="eastAsia"/>
              </w:rPr>
              <w:t>藥商製造、輸入再生醫療製劑，應向中央主管機關申請查驗登記，</w:t>
            </w:r>
            <w:r w:rsidRPr="00196A2B">
              <w:rPr>
                <w:rFonts w:ascii="標楷體" w:eastAsia="標楷體" w:hAnsi="標楷體" w:hint="eastAsia"/>
                <w:b/>
                <w:bCs/>
                <w:u w:val="single"/>
              </w:rPr>
              <w:t>經再生醫療</w:t>
            </w:r>
            <w:r w:rsidR="000D7B81" w:rsidRPr="00A45A0A">
              <w:rPr>
                <w:rFonts w:ascii="標楷體" w:eastAsia="標楷體" w:hAnsi="標楷體" w:hint="eastAsia"/>
                <w:b/>
                <w:bCs/>
                <w:u w:val="single"/>
              </w:rPr>
              <w:t>法</w:t>
            </w:r>
            <w:r w:rsidRPr="00196A2B">
              <w:rPr>
                <w:rFonts w:ascii="標楷體" w:eastAsia="標楷體" w:hAnsi="標楷體" w:hint="eastAsia"/>
                <w:b/>
                <w:bCs/>
                <w:u w:val="single"/>
              </w:rPr>
              <w:t>所定再生醫療審議委員會(以下簡稱再生審議委員會)審議，</w:t>
            </w:r>
            <w:r w:rsidRPr="00862C87">
              <w:rPr>
                <w:rFonts w:ascii="標楷體" w:eastAsia="標楷體" w:hAnsi="標楷體" w:hint="eastAsia"/>
              </w:rPr>
              <w:t>核准發給藥品許可證</w:t>
            </w:r>
            <w:r w:rsidRPr="00196A2B">
              <w:rPr>
                <w:rFonts w:ascii="標楷體" w:eastAsia="標楷體" w:hAnsi="標楷體" w:hint="eastAsia"/>
                <w:b/>
                <w:bCs/>
                <w:u w:val="single"/>
              </w:rPr>
              <w:t>(以下簡稱許可證)</w:t>
            </w:r>
            <w:r w:rsidRPr="00862C87">
              <w:rPr>
                <w:rFonts w:ascii="標楷體" w:eastAsia="標楷體" w:hAnsi="標楷體" w:hint="eastAsia"/>
              </w:rPr>
              <w:t>或核予</w:t>
            </w:r>
            <w:proofErr w:type="gramStart"/>
            <w:r w:rsidRPr="00862C87">
              <w:rPr>
                <w:rFonts w:ascii="標楷體" w:eastAsia="標楷體" w:hAnsi="標楷體" w:hint="eastAsia"/>
              </w:rPr>
              <w:t>有附款許可</w:t>
            </w:r>
            <w:proofErr w:type="gramEnd"/>
            <w:r w:rsidRPr="00862C87">
              <w:rPr>
                <w:rFonts w:ascii="標楷體" w:eastAsia="標楷體" w:hAnsi="標楷體" w:hint="eastAsia"/>
              </w:rPr>
              <w:t>後，始得為之。</w:t>
            </w:r>
          </w:p>
          <w:p w14:paraId="3EF35AB5" w14:textId="166A27FF" w:rsidR="00196A2B" w:rsidRPr="00862C87" w:rsidRDefault="00196A2B" w:rsidP="003A026B">
            <w:pPr>
              <w:ind w:firstLineChars="118" w:firstLine="283"/>
              <w:rPr>
                <w:rFonts w:ascii="標楷體" w:eastAsia="標楷體" w:hAnsi="標楷體"/>
              </w:rPr>
            </w:pPr>
          </w:p>
        </w:tc>
        <w:tc>
          <w:tcPr>
            <w:tcW w:w="3209" w:type="dxa"/>
          </w:tcPr>
          <w:p w14:paraId="120F68C2" w14:textId="77777777" w:rsidR="00196A2B" w:rsidRDefault="00196A2B" w:rsidP="00330BB6">
            <w:pPr>
              <w:rPr>
                <w:rFonts w:ascii="標楷體" w:eastAsia="標楷體" w:hAnsi="標楷體"/>
              </w:rPr>
            </w:pPr>
            <w:r>
              <w:rPr>
                <w:rFonts w:ascii="標楷體" w:eastAsia="標楷體" w:hAnsi="標楷體" w:hint="eastAsia"/>
              </w:rPr>
              <w:t>第六條第一項</w:t>
            </w:r>
          </w:p>
          <w:p w14:paraId="18EB9DBC" w14:textId="7CB255EA" w:rsidR="00196A2B" w:rsidRPr="00427A67" w:rsidRDefault="00196A2B" w:rsidP="003A026B">
            <w:pPr>
              <w:ind w:firstLineChars="117" w:firstLine="281"/>
              <w:rPr>
                <w:rFonts w:ascii="標楷體" w:eastAsia="標楷體" w:hAnsi="標楷體"/>
              </w:rPr>
            </w:pPr>
            <w:r>
              <w:rPr>
                <w:rFonts w:ascii="標楷體" w:eastAsia="標楷體" w:hAnsi="標楷體" w:hint="eastAsia"/>
              </w:rPr>
              <w:t>藥商製造、輸入再生醫療製劑，應向中央主管機關申請查驗登記，並經核准發給藥品許可證或核予</w:t>
            </w:r>
            <w:proofErr w:type="gramStart"/>
            <w:r>
              <w:rPr>
                <w:rFonts w:ascii="標楷體" w:eastAsia="標楷體" w:hAnsi="標楷體" w:hint="eastAsia"/>
              </w:rPr>
              <w:t>有附款許可</w:t>
            </w:r>
            <w:proofErr w:type="gramEnd"/>
            <w:r>
              <w:rPr>
                <w:rFonts w:ascii="標楷體" w:eastAsia="標楷體" w:hAnsi="標楷體" w:hint="eastAsia"/>
              </w:rPr>
              <w:t>後，始得為之。</w:t>
            </w:r>
          </w:p>
        </w:tc>
        <w:tc>
          <w:tcPr>
            <w:tcW w:w="3210" w:type="dxa"/>
          </w:tcPr>
          <w:p w14:paraId="220EEFD1" w14:textId="0FF081B6" w:rsidR="00196A2B" w:rsidRPr="00862C87" w:rsidRDefault="00196A2B" w:rsidP="000D7B81">
            <w:pPr>
              <w:jc w:val="both"/>
              <w:rPr>
                <w:rFonts w:ascii="標楷體" w:eastAsia="標楷體" w:hAnsi="標楷體"/>
              </w:rPr>
            </w:pPr>
            <w:r w:rsidRPr="00862C87">
              <w:rPr>
                <w:rFonts w:ascii="標楷體" w:eastAsia="標楷體" w:hAnsi="標楷體" w:hint="eastAsia"/>
              </w:rPr>
              <w:t>再生醫療</w:t>
            </w:r>
            <w:r>
              <w:rPr>
                <w:rFonts w:ascii="標楷體" w:eastAsia="標楷體" w:hAnsi="標楷體" w:hint="eastAsia"/>
              </w:rPr>
              <w:t>法</w:t>
            </w:r>
            <w:r w:rsidRPr="00862C87">
              <w:rPr>
                <w:rFonts w:ascii="標楷體" w:eastAsia="標楷體" w:hAnsi="標楷體" w:hint="eastAsia"/>
              </w:rPr>
              <w:t>第</w:t>
            </w:r>
            <w:r w:rsidR="000D7B81" w:rsidRPr="00A45A0A">
              <w:rPr>
                <w:rFonts w:ascii="標楷體" w:eastAsia="標楷體" w:hAnsi="標楷體" w:hint="eastAsia"/>
              </w:rPr>
              <w:t>五</w:t>
            </w:r>
            <w:r w:rsidRPr="00A45A0A">
              <w:rPr>
                <w:rFonts w:ascii="標楷體" w:eastAsia="標楷體" w:hAnsi="標楷體" w:hint="eastAsia"/>
              </w:rPr>
              <w:t>條規定</w:t>
            </w:r>
            <w:r w:rsidR="000D7B81" w:rsidRPr="00A45A0A">
              <w:rPr>
                <w:rFonts w:ascii="標楷體" w:eastAsia="標楷體" w:hAnsi="標楷體" w:hint="eastAsia"/>
              </w:rPr>
              <w:t>中央主管機關</w:t>
            </w:r>
            <w:r w:rsidRPr="00A45A0A">
              <w:rPr>
                <w:rFonts w:ascii="標楷體" w:eastAsia="標楷體" w:hAnsi="標楷體" w:hint="eastAsia"/>
              </w:rPr>
              <w:t>應</w:t>
            </w:r>
            <w:r w:rsidR="00D340F5" w:rsidRPr="00A45A0A">
              <w:rPr>
                <w:rFonts w:ascii="標楷體" w:eastAsia="標楷體" w:hAnsi="標楷體" w:hint="eastAsia"/>
              </w:rPr>
              <w:t>組成</w:t>
            </w:r>
            <w:r w:rsidRPr="00A45A0A">
              <w:rPr>
                <w:rFonts w:ascii="標楷體" w:eastAsia="標楷體" w:hAnsi="標楷體" w:hint="eastAsia"/>
              </w:rPr>
              <w:t>再生醫療審議委員會，</w:t>
            </w:r>
            <w:proofErr w:type="gramStart"/>
            <w:r w:rsidRPr="00A45A0A">
              <w:rPr>
                <w:rFonts w:ascii="標楷體" w:eastAsia="標楷體" w:hAnsi="標楷體" w:hint="eastAsia"/>
              </w:rPr>
              <w:t>爰</w:t>
            </w:r>
            <w:proofErr w:type="gramEnd"/>
            <w:r w:rsidR="000D7B81" w:rsidRPr="00A45A0A">
              <w:rPr>
                <w:rFonts w:ascii="標楷體" w:eastAsia="標楷體" w:hAnsi="標楷體" w:hint="eastAsia"/>
              </w:rPr>
              <w:t>於</w:t>
            </w:r>
            <w:r w:rsidRPr="00A45A0A">
              <w:rPr>
                <w:rFonts w:ascii="標楷體" w:eastAsia="標楷體" w:hAnsi="標楷體" w:hint="eastAsia"/>
              </w:rPr>
              <w:t>條文</w:t>
            </w:r>
            <w:r w:rsidR="000D7B81" w:rsidRPr="00A45A0A">
              <w:rPr>
                <w:rFonts w:ascii="標楷體" w:eastAsia="標楷體" w:hAnsi="標楷體" w:hint="eastAsia"/>
              </w:rPr>
              <w:t>中</w:t>
            </w:r>
            <w:r w:rsidR="00D340F5" w:rsidRPr="00A45A0A">
              <w:rPr>
                <w:rFonts w:ascii="標楷體" w:eastAsia="標楷體" w:hAnsi="標楷體" w:hint="eastAsia"/>
              </w:rPr>
              <w:t>訂定</w:t>
            </w:r>
            <w:r w:rsidRPr="00A45A0A">
              <w:rPr>
                <w:rFonts w:ascii="標楷體" w:eastAsia="標楷體" w:hAnsi="標楷體" w:hint="eastAsia"/>
              </w:rPr>
              <w:t>該審議委員會實質審議權限。</w:t>
            </w:r>
          </w:p>
        </w:tc>
      </w:tr>
      <w:tr w:rsidR="00196A2B" w:rsidRPr="00862C87" w14:paraId="6A3B6D96" w14:textId="7F4BC322" w:rsidTr="00206A0F">
        <w:trPr>
          <w:trHeight w:val="344"/>
        </w:trPr>
        <w:tc>
          <w:tcPr>
            <w:tcW w:w="3209" w:type="dxa"/>
          </w:tcPr>
          <w:p w14:paraId="4317316E" w14:textId="77777777" w:rsidR="00196A2B" w:rsidRPr="00862C87" w:rsidRDefault="00196A2B" w:rsidP="00240965">
            <w:pPr>
              <w:rPr>
                <w:rFonts w:ascii="標楷體" w:eastAsia="標楷體" w:hAnsi="標楷體"/>
              </w:rPr>
            </w:pPr>
            <w:r w:rsidRPr="00862C87">
              <w:rPr>
                <w:rFonts w:ascii="標楷體" w:eastAsia="標楷體" w:hAnsi="標楷體"/>
              </w:rPr>
              <w:t xml:space="preserve">第七條 </w:t>
            </w:r>
          </w:p>
          <w:p w14:paraId="1CF8600F" w14:textId="6B65AAEC" w:rsidR="00725773" w:rsidRPr="0018413C" w:rsidRDefault="00196A2B" w:rsidP="0018413C">
            <w:pPr>
              <w:ind w:firstLineChars="118" w:firstLine="283"/>
              <w:rPr>
                <w:rFonts w:ascii="標楷體" w:eastAsia="標楷體" w:hAnsi="標楷體" w:hint="eastAsia"/>
                <w:b/>
                <w:bCs/>
                <w:u w:val="single"/>
              </w:rPr>
            </w:pPr>
            <w:r w:rsidRPr="00862C87">
              <w:rPr>
                <w:rFonts w:ascii="標楷體" w:eastAsia="標楷體" w:hAnsi="標楷體"/>
              </w:rPr>
              <w:t>經核准製造、輸入之再生醫療製劑，</w:t>
            </w:r>
            <w:r w:rsidRPr="00713CF6">
              <w:rPr>
                <w:rFonts w:ascii="標楷體" w:eastAsia="標楷體" w:hAnsi="標楷體"/>
                <w:b/>
                <w:bCs/>
                <w:u w:val="single"/>
              </w:rPr>
              <w:t>非向中央主管機關申請，經再生</w:t>
            </w:r>
            <w:r w:rsidRPr="00713CF6">
              <w:rPr>
                <w:rFonts w:ascii="標楷體" w:eastAsia="標楷體" w:hAnsi="標楷體" w:hint="eastAsia"/>
                <w:b/>
                <w:bCs/>
                <w:u w:val="single"/>
              </w:rPr>
              <w:t>審</w:t>
            </w:r>
            <w:r w:rsidRPr="00713CF6">
              <w:rPr>
                <w:rFonts w:ascii="標楷體" w:eastAsia="標楷體" w:hAnsi="標楷體"/>
                <w:b/>
                <w:bCs/>
                <w:u w:val="single"/>
              </w:rPr>
              <w:t>議</w:t>
            </w:r>
            <w:r w:rsidR="00713CF6" w:rsidRPr="00713CF6">
              <w:rPr>
                <w:rFonts w:ascii="標楷體" w:eastAsia="標楷體" w:hAnsi="標楷體" w:hint="eastAsia"/>
                <w:b/>
                <w:bCs/>
                <w:u w:val="single"/>
              </w:rPr>
              <w:t>委員</w:t>
            </w:r>
            <w:r w:rsidRPr="00713CF6">
              <w:rPr>
                <w:rFonts w:ascii="標楷體" w:eastAsia="標楷體" w:hAnsi="標楷體"/>
                <w:b/>
                <w:bCs/>
                <w:u w:val="single"/>
              </w:rPr>
              <w:t>會審議後予以核准，不得變更許可證或</w:t>
            </w:r>
            <w:proofErr w:type="gramStart"/>
            <w:r w:rsidRPr="00713CF6">
              <w:rPr>
                <w:rFonts w:ascii="標楷體" w:eastAsia="標楷體" w:hAnsi="標楷體"/>
                <w:b/>
                <w:bCs/>
                <w:u w:val="single"/>
              </w:rPr>
              <w:t>有附款之</w:t>
            </w:r>
            <w:proofErr w:type="gramEnd"/>
            <w:r w:rsidRPr="00713CF6">
              <w:rPr>
                <w:rFonts w:ascii="標楷體" w:eastAsia="標楷體" w:hAnsi="標楷體"/>
                <w:b/>
                <w:bCs/>
                <w:u w:val="single"/>
              </w:rPr>
              <w:t>許可及原查驗登記事項；其移轉，亦同。</w:t>
            </w:r>
          </w:p>
        </w:tc>
        <w:tc>
          <w:tcPr>
            <w:tcW w:w="3209" w:type="dxa"/>
          </w:tcPr>
          <w:p w14:paraId="2FE95AAD" w14:textId="77777777" w:rsidR="00196A2B" w:rsidRDefault="00196A2B" w:rsidP="00330BB6">
            <w:pPr>
              <w:rPr>
                <w:rFonts w:ascii="標楷體" w:eastAsia="標楷體" w:hAnsi="標楷體"/>
              </w:rPr>
            </w:pPr>
            <w:r>
              <w:rPr>
                <w:rFonts w:ascii="標楷體" w:eastAsia="標楷體" w:hAnsi="標楷體" w:hint="eastAsia"/>
              </w:rPr>
              <w:t>第七條</w:t>
            </w:r>
          </w:p>
          <w:p w14:paraId="7F89EA86" w14:textId="206E10FE" w:rsidR="00196A2B" w:rsidRPr="00862C87" w:rsidRDefault="00196A2B" w:rsidP="004A78A6">
            <w:pPr>
              <w:ind w:firstLineChars="117" w:firstLine="281"/>
              <w:rPr>
                <w:rFonts w:ascii="標楷體" w:eastAsia="標楷體" w:hAnsi="標楷體"/>
              </w:rPr>
            </w:pPr>
            <w:r>
              <w:rPr>
                <w:rFonts w:ascii="標楷體" w:eastAsia="標楷體" w:hAnsi="標楷體" w:hint="eastAsia"/>
              </w:rPr>
              <w:t>經核准製造、輸入之再生醫療製劑，應經中央主管機關核准，</w:t>
            </w:r>
            <w:r w:rsidR="00713CF6">
              <w:rPr>
                <w:rFonts w:ascii="標楷體" w:eastAsia="標楷體" w:hAnsi="標楷體" w:hint="eastAsia"/>
              </w:rPr>
              <w:t>始</w:t>
            </w:r>
            <w:r>
              <w:rPr>
                <w:rFonts w:ascii="標楷體" w:eastAsia="標楷體" w:hAnsi="標楷體" w:hint="eastAsia"/>
              </w:rPr>
              <w:t>得變更藥品許可證或</w:t>
            </w:r>
            <w:proofErr w:type="gramStart"/>
            <w:r>
              <w:rPr>
                <w:rFonts w:ascii="標楷體" w:eastAsia="標楷體" w:hAnsi="標楷體" w:hint="eastAsia"/>
              </w:rPr>
              <w:t>有附款許可</w:t>
            </w:r>
            <w:proofErr w:type="gramEnd"/>
            <w:r>
              <w:rPr>
                <w:rFonts w:ascii="標楷體" w:eastAsia="標楷體" w:hAnsi="標楷體" w:hint="eastAsia"/>
              </w:rPr>
              <w:t>及原查驗登記事項；藥品許可證及</w:t>
            </w:r>
            <w:proofErr w:type="gramStart"/>
            <w:r>
              <w:rPr>
                <w:rFonts w:ascii="標楷體" w:eastAsia="標楷體" w:hAnsi="標楷體" w:hint="eastAsia"/>
              </w:rPr>
              <w:t>有附款許可</w:t>
            </w:r>
            <w:proofErr w:type="gramEnd"/>
            <w:r>
              <w:rPr>
                <w:rFonts w:ascii="標楷體" w:eastAsia="標楷體" w:hAnsi="標楷體" w:hint="eastAsia"/>
              </w:rPr>
              <w:t>移轉時，應辦理移轉登記。</w:t>
            </w:r>
          </w:p>
        </w:tc>
        <w:tc>
          <w:tcPr>
            <w:tcW w:w="3210" w:type="dxa"/>
          </w:tcPr>
          <w:p w14:paraId="68F71708" w14:textId="396E2A93" w:rsidR="00196A2B" w:rsidRPr="00862C87" w:rsidRDefault="00230A6B" w:rsidP="00240965">
            <w:pPr>
              <w:rPr>
                <w:rFonts w:ascii="標楷體" w:eastAsia="標楷體" w:hAnsi="標楷體"/>
              </w:rPr>
            </w:pPr>
            <w:r>
              <w:rPr>
                <w:rFonts w:ascii="標楷體" w:eastAsia="標楷體" w:hAnsi="標楷體" w:hint="eastAsia"/>
              </w:rPr>
              <w:t>為防止取得藥品許可證或</w:t>
            </w:r>
            <w:proofErr w:type="gramStart"/>
            <w:r>
              <w:rPr>
                <w:rFonts w:ascii="標楷體" w:eastAsia="標楷體" w:hAnsi="標楷體" w:hint="eastAsia"/>
              </w:rPr>
              <w:t>有附款許可</w:t>
            </w:r>
            <w:proofErr w:type="gramEnd"/>
            <w:r>
              <w:rPr>
                <w:rFonts w:ascii="標楷體" w:eastAsia="標楷體" w:hAnsi="標楷體" w:hint="eastAsia"/>
              </w:rPr>
              <w:t>之再生醫療製劑上市後，擅自變更原核准事項或移轉藥品許可證或</w:t>
            </w:r>
            <w:proofErr w:type="gramStart"/>
            <w:r>
              <w:rPr>
                <w:rFonts w:ascii="標楷體" w:eastAsia="標楷體" w:hAnsi="標楷體" w:hint="eastAsia"/>
              </w:rPr>
              <w:t>有附款許可</w:t>
            </w:r>
            <w:proofErr w:type="gramEnd"/>
            <w:r>
              <w:rPr>
                <w:rFonts w:ascii="標楷體" w:eastAsia="標楷體" w:hAnsi="標楷體" w:hint="eastAsia"/>
              </w:rPr>
              <w:t>，而影響其品質及民眾健康安全，</w:t>
            </w:r>
            <w:proofErr w:type="gramStart"/>
            <w:r>
              <w:rPr>
                <w:rFonts w:ascii="標楷體" w:eastAsia="標楷體" w:hAnsi="標楷體" w:hint="eastAsia"/>
              </w:rPr>
              <w:t>爰</w:t>
            </w:r>
            <w:proofErr w:type="gramEnd"/>
            <w:r w:rsidR="00196A2B">
              <w:rPr>
                <w:rFonts w:ascii="標楷體" w:eastAsia="標楷體" w:hAnsi="標楷體" w:hint="eastAsia"/>
              </w:rPr>
              <w:t>增列條文</w:t>
            </w:r>
            <w:r>
              <w:rPr>
                <w:rFonts w:ascii="標楷體" w:eastAsia="標楷體" w:hAnsi="標楷體" w:hint="eastAsia"/>
              </w:rPr>
              <w:t>訂定應由</w:t>
            </w:r>
            <w:r w:rsidR="00713CF6">
              <w:rPr>
                <w:rFonts w:ascii="標楷體" w:eastAsia="標楷體" w:hAnsi="標楷體" w:hint="eastAsia"/>
              </w:rPr>
              <w:t>審議委員</w:t>
            </w:r>
            <w:r w:rsidR="00196A2B" w:rsidRPr="00862C87">
              <w:rPr>
                <w:rFonts w:ascii="標楷體" w:eastAsia="標楷體" w:hAnsi="標楷體" w:hint="eastAsia"/>
              </w:rPr>
              <w:t>會</w:t>
            </w:r>
            <w:r>
              <w:rPr>
                <w:rFonts w:ascii="標楷體" w:eastAsia="標楷體" w:hAnsi="標楷體" w:hint="eastAsia"/>
              </w:rPr>
              <w:t>審議核准始得為之</w:t>
            </w:r>
            <w:r w:rsidR="00196A2B" w:rsidRPr="00862C87">
              <w:rPr>
                <w:rFonts w:ascii="標楷體" w:eastAsia="標楷體" w:hAnsi="標楷體" w:hint="eastAsia"/>
              </w:rPr>
              <w:t>。</w:t>
            </w:r>
          </w:p>
        </w:tc>
      </w:tr>
      <w:tr w:rsidR="00196A2B" w:rsidRPr="00862C87" w14:paraId="05F3796B" w14:textId="7E5630BA" w:rsidTr="00206A0F">
        <w:trPr>
          <w:trHeight w:val="4298"/>
        </w:trPr>
        <w:tc>
          <w:tcPr>
            <w:tcW w:w="3209" w:type="dxa"/>
          </w:tcPr>
          <w:p w14:paraId="7EDF80C9" w14:textId="77777777" w:rsidR="00196A2B" w:rsidRPr="00862C87" w:rsidRDefault="00196A2B" w:rsidP="00240965">
            <w:pPr>
              <w:rPr>
                <w:rFonts w:ascii="標楷體" w:eastAsia="標楷體" w:hAnsi="標楷體"/>
              </w:rPr>
            </w:pPr>
            <w:r w:rsidRPr="00862C87">
              <w:rPr>
                <w:rFonts w:ascii="標楷體" w:eastAsia="標楷體" w:hAnsi="標楷體"/>
              </w:rPr>
              <w:lastRenderedPageBreak/>
              <w:t xml:space="preserve">第八條第一項 </w:t>
            </w:r>
          </w:p>
          <w:p w14:paraId="40625988" w14:textId="77777777" w:rsidR="00196A2B" w:rsidRDefault="00196A2B" w:rsidP="004A78A6">
            <w:pPr>
              <w:ind w:firstLineChars="59" w:firstLine="142"/>
              <w:rPr>
                <w:rFonts w:ascii="標楷體" w:eastAsia="標楷體" w:hAnsi="標楷體"/>
              </w:rPr>
            </w:pPr>
            <w:r w:rsidRPr="00862C87">
              <w:rPr>
                <w:rFonts w:ascii="標楷體" w:eastAsia="標楷體" w:hAnsi="標楷體"/>
              </w:rPr>
              <w:t>依第六條第一項規定發給許可證者，該許可證之有效期間為五年，期滿仍需繼續製造、輸入者，應於有效期間屆滿前六</w:t>
            </w:r>
            <w:proofErr w:type="gramStart"/>
            <w:r w:rsidRPr="00862C87">
              <w:rPr>
                <w:rFonts w:ascii="標楷體" w:eastAsia="標楷體" w:hAnsi="標楷體"/>
              </w:rPr>
              <w:t>個</w:t>
            </w:r>
            <w:proofErr w:type="gramEnd"/>
            <w:r w:rsidRPr="00862C87">
              <w:rPr>
                <w:rFonts w:ascii="標楷體" w:eastAsia="標楷體" w:hAnsi="標楷體"/>
              </w:rPr>
              <w:t>月內</w:t>
            </w:r>
            <w:r w:rsidRPr="00862C87">
              <w:rPr>
                <w:rFonts w:ascii="標楷體" w:eastAsia="標楷體" w:hAnsi="標楷體"/>
                <w:b/>
                <w:bCs/>
                <w:u w:val="single"/>
              </w:rPr>
              <w:t>向</w:t>
            </w:r>
            <w:r w:rsidRPr="00862C87">
              <w:rPr>
                <w:rFonts w:ascii="標楷體" w:eastAsia="標楷體" w:hAnsi="標楷體"/>
              </w:rPr>
              <w:t>中央主管機關</w:t>
            </w:r>
            <w:r w:rsidRPr="001465AD">
              <w:rPr>
                <w:rFonts w:ascii="標楷體" w:eastAsia="標楷體" w:hAnsi="標楷體"/>
                <w:b/>
                <w:bCs/>
                <w:u w:val="single"/>
              </w:rPr>
              <w:t>申請，經再生</w:t>
            </w:r>
            <w:r w:rsidRPr="001465AD">
              <w:rPr>
                <w:rFonts w:ascii="標楷體" w:eastAsia="標楷體" w:hAnsi="標楷體" w:hint="eastAsia"/>
                <w:b/>
                <w:bCs/>
                <w:u w:val="single"/>
              </w:rPr>
              <w:t>審</w:t>
            </w:r>
            <w:r w:rsidRPr="001465AD">
              <w:rPr>
                <w:rFonts w:ascii="標楷體" w:eastAsia="標楷體" w:hAnsi="標楷體"/>
                <w:b/>
                <w:bCs/>
                <w:u w:val="single"/>
              </w:rPr>
              <w:t>議</w:t>
            </w:r>
            <w:r w:rsidR="001465AD">
              <w:rPr>
                <w:rFonts w:ascii="標楷體" w:eastAsia="標楷體" w:hAnsi="標楷體" w:hint="eastAsia"/>
                <w:b/>
                <w:bCs/>
                <w:u w:val="single"/>
              </w:rPr>
              <w:t>委員</w:t>
            </w:r>
            <w:r w:rsidRPr="001465AD">
              <w:rPr>
                <w:rFonts w:ascii="標楷體" w:eastAsia="標楷體" w:hAnsi="標楷體"/>
                <w:b/>
                <w:bCs/>
                <w:u w:val="single"/>
              </w:rPr>
              <w:t>會審議後</w:t>
            </w:r>
            <w:r w:rsidRPr="00862C87">
              <w:rPr>
                <w:rFonts w:ascii="標楷體" w:eastAsia="標楷體" w:hAnsi="標楷體"/>
              </w:rPr>
              <w:t>核准展延；每次展延，不得超過五年。屆期未申請</w:t>
            </w:r>
            <w:proofErr w:type="gramStart"/>
            <w:r w:rsidRPr="00862C87">
              <w:rPr>
                <w:rFonts w:ascii="標楷體" w:eastAsia="標楷體" w:hAnsi="標楷體"/>
              </w:rPr>
              <w:t>或經否准展延者</w:t>
            </w:r>
            <w:proofErr w:type="gramEnd"/>
            <w:r w:rsidRPr="00862C87">
              <w:rPr>
                <w:rFonts w:ascii="標楷體" w:eastAsia="標楷體" w:hAnsi="標楷體"/>
              </w:rPr>
              <w:t>，原許可證失其效力，並由中央主管機關註銷之。</w:t>
            </w:r>
          </w:p>
          <w:p w14:paraId="04E811FA" w14:textId="495797AB" w:rsidR="00CF46F9" w:rsidRPr="00862C87" w:rsidRDefault="00CF46F9" w:rsidP="004A78A6">
            <w:pPr>
              <w:ind w:firstLineChars="59" w:firstLine="142"/>
              <w:rPr>
                <w:rFonts w:ascii="標楷體" w:eastAsia="標楷體" w:hAnsi="標楷體"/>
              </w:rPr>
            </w:pPr>
          </w:p>
        </w:tc>
        <w:tc>
          <w:tcPr>
            <w:tcW w:w="3209" w:type="dxa"/>
          </w:tcPr>
          <w:p w14:paraId="59DDE9DB" w14:textId="77777777" w:rsidR="00196A2B" w:rsidRDefault="00196A2B" w:rsidP="00240965">
            <w:pPr>
              <w:rPr>
                <w:rFonts w:ascii="標楷體" w:eastAsia="標楷體" w:hAnsi="標楷體"/>
              </w:rPr>
            </w:pPr>
            <w:r>
              <w:rPr>
                <w:rFonts w:ascii="標楷體" w:eastAsia="標楷體" w:hAnsi="標楷體" w:hint="eastAsia"/>
              </w:rPr>
              <w:t>第八條第一項</w:t>
            </w:r>
          </w:p>
          <w:p w14:paraId="5606484F" w14:textId="7A971269" w:rsidR="00196A2B" w:rsidRPr="00345A0C" w:rsidRDefault="00196A2B" w:rsidP="004A78A6">
            <w:pPr>
              <w:ind w:firstLineChars="117" w:firstLine="281"/>
              <w:rPr>
                <w:rFonts w:ascii="標楷體" w:eastAsia="標楷體" w:hAnsi="標楷體"/>
              </w:rPr>
            </w:pPr>
            <w:r w:rsidRPr="00862C87">
              <w:rPr>
                <w:rFonts w:ascii="標楷體" w:eastAsia="標楷體" w:hAnsi="標楷體"/>
              </w:rPr>
              <w:t>依第六條第一項規定發給</w:t>
            </w:r>
            <w:r>
              <w:rPr>
                <w:rFonts w:ascii="標楷體" w:eastAsia="標楷體" w:hAnsi="標楷體" w:hint="eastAsia"/>
              </w:rPr>
              <w:t>之藥品</w:t>
            </w:r>
            <w:r w:rsidRPr="00862C87">
              <w:rPr>
                <w:rFonts w:ascii="標楷體" w:eastAsia="標楷體" w:hAnsi="標楷體"/>
              </w:rPr>
              <w:t>許可證有效期間為五年，期滿仍需繼續製造、輸入者，應於有效期間屆滿前六</w:t>
            </w:r>
            <w:proofErr w:type="gramStart"/>
            <w:r w:rsidRPr="00862C87">
              <w:rPr>
                <w:rFonts w:ascii="標楷體" w:eastAsia="標楷體" w:hAnsi="標楷體"/>
              </w:rPr>
              <w:t>個</w:t>
            </w:r>
            <w:proofErr w:type="gramEnd"/>
            <w:r w:rsidRPr="00862C87">
              <w:rPr>
                <w:rFonts w:ascii="標楷體" w:eastAsia="標楷體" w:hAnsi="標楷體"/>
              </w:rPr>
              <w:t>月內</w:t>
            </w:r>
            <w:r>
              <w:rPr>
                <w:rFonts w:ascii="標楷體" w:eastAsia="標楷體" w:hAnsi="標楷體" w:hint="eastAsia"/>
              </w:rPr>
              <w:t>，申請</w:t>
            </w:r>
            <w:r w:rsidRPr="00862C87">
              <w:rPr>
                <w:rFonts w:ascii="標楷體" w:eastAsia="標楷體" w:hAnsi="標楷體"/>
              </w:rPr>
              <w:t>中央主管機關核准展延；每次展延，不得超過五年。屆期未申請</w:t>
            </w:r>
            <w:proofErr w:type="gramStart"/>
            <w:r w:rsidRPr="00862C87">
              <w:rPr>
                <w:rFonts w:ascii="標楷體" w:eastAsia="標楷體" w:hAnsi="標楷體"/>
              </w:rPr>
              <w:t>或經否准展延者</w:t>
            </w:r>
            <w:proofErr w:type="gramEnd"/>
            <w:r w:rsidRPr="00862C87">
              <w:rPr>
                <w:rFonts w:ascii="標楷體" w:eastAsia="標楷體" w:hAnsi="標楷體"/>
              </w:rPr>
              <w:t>，原許可證失其效力，並由中央主管機關註銷之。</w:t>
            </w:r>
          </w:p>
        </w:tc>
        <w:tc>
          <w:tcPr>
            <w:tcW w:w="3210" w:type="dxa"/>
          </w:tcPr>
          <w:p w14:paraId="4A10EA25" w14:textId="7B83C1F1" w:rsidR="00196A2B" w:rsidRPr="00862C87" w:rsidRDefault="001465AD" w:rsidP="00240965">
            <w:pPr>
              <w:rPr>
                <w:rFonts w:ascii="標楷體" w:eastAsia="標楷體" w:hAnsi="標楷體"/>
              </w:rPr>
            </w:pPr>
            <w:r>
              <w:rPr>
                <w:rFonts w:ascii="標楷體" w:eastAsia="標楷體" w:hAnsi="標楷體" w:hint="eastAsia"/>
              </w:rPr>
              <w:t>增列條文</w:t>
            </w:r>
            <w:r w:rsidRPr="00862C87">
              <w:rPr>
                <w:rFonts w:ascii="標楷體" w:eastAsia="標楷體" w:hAnsi="標楷體" w:hint="eastAsia"/>
              </w:rPr>
              <w:t>賦予該</w:t>
            </w:r>
            <w:r>
              <w:rPr>
                <w:rFonts w:ascii="標楷體" w:eastAsia="標楷體" w:hAnsi="標楷體" w:hint="eastAsia"/>
              </w:rPr>
              <w:t>審議委員</w:t>
            </w:r>
            <w:r w:rsidRPr="00862C87">
              <w:rPr>
                <w:rFonts w:ascii="標楷體" w:eastAsia="標楷體" w:hAnsi="標楷體" w:hint="eastAsia"/>
              </w:rPr>
              <w:t>會實質審議權限</w:t>
            </w:r>
            <w:r w:rsidR="00E46FBC">
              <w:rPr>
                <w:rFonts w:ascii="標楷體" w:eastAsia="標楷體" w:hAnsi="標楷體" w:hint="eastAsia"/>
              </w:rPr>
              <w:t>，</w:t>
            </w:r>
            <w:r w:rsidR="009C60A1">
              <w:rPr>
                <w:rFonts w:ascii="標楷體" w:eastAsia="標楷體" w:hAnsi="標楷體" w:hint="eastAsia"/>
              </w:rPr>
              <w:t>以維護民眾健康權益。</w:t>
            </w:r>
          </w:p>
        </w:tc>
      </w:tr>
      <w:tr w:rsidR="00196A2B" w:rsidRPr="00862C87" w14:paraId="7BC08CF7" w14:textId="77777777" w:rsidTr="00206A0F">
        <w:trPr>
          <w:trHeight w:val="4298"/>
        </w:trPr>
        <w:tc>
          <w:tcPr>
            <w:tcW w:w="3209" w:type="dxa"/>
          </w:tcPr>
          <w:p w14:paraId="573020AE" w14:textId="77777777" w:rsidR="00196A2B" w:rsidRPr="00862C87" w:rsidRDefault="00196A2B" w:rsidP="00240965">
            <w:pPr>
              <w:rPr>
                <w:rFonts w:ascii="標楷體" w:eastAsia="標楷體" w:hAnsi="標楷體"/>
              </w:rPr>
            </w:pPr>
            <w:r w:rsidRPr="00862C87">
              <w:rPr>
                <w:rFonts w:ascii="標楷體" w:eastAsia="標楷體" w:hAnsi="標楷體"/>
              </w:rPr>
              <w:t xml:space="preserve">第十六條 </w:t>
            </w:r>
          </w:p>
          <w:p w14:paraId="4B2C6D63" w14:textId="77777777" w:rsidR="00196A2B" w:rsidRPr="008F1A49" w:rsidRDefault="00196A2B" w:rsidP="00845992">
            <w:pPr>
              <w:ind w:firstLineChars="118" w:firstLine="283"/>
              <w:rPr>
                <w:rFonts w:ascii="標楷體" w:eastAsia="標楷體" w:hAnsi="標楷體"/>
                <w:b/>
                <w:bCs/>
                <w:u w:val="single"/>
              </w:rPr>
            </w:pPr>
            <w:r w:rsidRPr="008F1A49">
              <w:rPr>
                <w:rFonts w:ascii="標楷體" w:eastAsia="標楷體" w:hAnsi="標楷體"/>
                <w:b/>
                <w:bCs/>
                <w:u w:val="single"/>
              </w:rPr>
              <w:t xml:space="preserve">再生醫療製劑之製造及運銷，應符合再生醫療製劑優良製造及運銷準則，並經中央主管機關檢查合格，取得製造及運銷許可後，始得為之。 </w:t>
            </w:r>
          </w:p>
          <w:p w14:paraId="43F5AF83" w14:textId="77777777" w:rsidR="00196A2B" w:rsidRPr="008F1A49" w:rsidRDefault="00196A2B" w:rsidP="00845992">
            <w:pPr>
              <w:ind w:firstLineChars="118" w:firstLine="283"/>
              <w:rPr>
                <w:rFonts w:ascii="標楷體" w:eastAsia="標楷體" w:hAnsi="標楷體"/>
                <w:b/>
                <w:bCs/>
                <w:u w:val="single"/>
              </w:rPr>
            </w:pPr>
            <w:r w:rsidRPr="008F1A49">
              <w:rPr>
                <w:rFonts w:ascii="標楷體" w:eastAsia="標楷體" w:hAnsi="標楷體"/>
                <w:b/>
                <w:bCs/>
                <w:u w:val="single"/>
              </w:rPr>
              <w:t>輸入再生醫療製劑之國外製造廠，</w:t>
            </w:r>
            <w:proofErr w:type="gramStart"/>
            <w:r w:rsidRPr="008F1A49">
              <w:rPr>
                <w:rFonts w:ascii="標楷體" w:eastAsia="標楷體" w:hAnsi="標楷體"/>
                <w:b/>
                <w:bCs/>
                <w:u w:val="single"/>
              </w:rPr>
              <w:t>準</w:t>
            </w:r>
            <w:proofErr w:type="gramEnd"/>
            <w:r w:rsidRPr="008F1A49">
              <w:rPr>
                <w:rFonts w:ascii="標楷體" w:eastAsia="標楷體" w:hAnsi="標楷體"/>
                <w:b/>
                <w:bCs/>
                <w:u w:val="single"/>
              </w:rPr>
              <w:t xml:space="preserve">用前項規定，並由中央主管機關定期或依實際需要赴國外製造場所檢查之。 </w:t>
            </w:r>
          </w:p>
          <w:p w14:paraId="4B109E71" w14:textId="77777777" w:rsidR="00196A2B" w:rsidRDefault="00196A2B" w:rsidP="00845992">
            <w:pPr>
              <w:ind w:firstLineChars="118" w:firstLine="283"/>
              <w:rPr>
                <w:rFonts w:ascii="標楷體" w:eastAsia="標楷體" w:hAnsi="標楷體"/>
                <w:b/>
                <w:bCs/>
                <w:u w:val="single"/>
              </w:rPr>
            </w:pPr>
            <w:r w:rsidRPr="008F1A49">
              <w:rPr>
                <w:rFonts w:ascii="標楷體" w:eastAsia="標楷體" w:hAnsi="標楷體"/>
                <w:b/>
                <w:bCs/>
                <w:u w:val="single"/>
              </w:rPr>
              <w:t>第一項之準則與許可申請條件、檢查程序、審查基準、效期、核發、變更、移轉、展延、廢止、收費及其他應遵行事項之辦法，由中央主管機關定之。</w:t>
            </w:r>
          </w:p>
          <w:p w14:paraId="306161E1" w14:textId="5133CB71" w:rsidR="00725773" w:rsidRPr="00862C87" w:rsidRDefault="00725773" w:rsidP="00845992">
            <w:pPr>
              <w:ind w:firstLineChars="118" w:firstLine="283"/>
              <w:rPr>
                <w:rFonts w:ascii="標楷體" w:eastAsia="標楷體" w:hAnsi="標楷體"/>
              </w:rPr>
            </w:pPr>
          </w:p>
        </w:tc>
        <w:tc>
          <w:tcPr>
            <w:tcW w:w="3209" w:type="dxa"/>
          </w:tcPr>
          <w:p w14:paraId="4E15A5CA" w14:textId="77777777" w:rsidR="00196A2B" w:rsidRDefault="00196A2B" w:rsidP="00240965">
            <w:pPr>
              <w:rPr>
                <w:rFonts w:ascii="標楷體" w:eastAsia="標楷體" w:hAnsi="標楷體"/>
              </w:rPr>
            </w:pPr>
            <w:r>
              <w:rPr>
                <w:rFonts w:ascii="標楷體" w:eastAsia="標楷體" w:hAnsi="標楷體" w:hint="eastAsia"/>
              </w:rPr>
              <w:t>第十六條</w:t>
            </w:r>
          </w:p>
          <w:p w14:paraId="507898ED" w14:textId="2E442AFE" w:rsidR="00196A2B" w:rsidRDefault="00196A2B" w:rsidP="00845992">
            <w:pPr>
              <w:ind w:firstLineChars="117" w:firstLine="281"/>
              <w:rPr>
                <w:rFonts w:ascii="標楷體" w:eastAsia="標楷體" w:hAnsi="標楷體"/>
              </w:rPr>
            </w:pPr>
            <w:r>
              <w:rPr>
                <w:rFonts w:ascii="標楷體" w:eastAsia="標楷體" w:hAnsi="標楷體" w:hint="eastAsia"/>
              </w:rPr>
              <w:t>藥商應依藥事法第五十三條之</w:t>
            </w:r>
            <w:proofErr w:type="gramStart"/>
            <w:r>
              <w:rPr>
                <w:rFonts w:ascii="標楷體" w:eastAsia="標楷體" w:hAnsi="標楷體" w:hint="eastAsia"/>
              </w:rPr>
              <w:t>一</w:t>
            </w:r>
            <w:proofErr w:type="gramEnd"/>
            <w:r>
              <w:rPr>
                <w:rFonts w:ascii="標楷體" w:eastAsia="標楷體" w:hAnsi="標楷體" w:hint="eastAsia"/>
              </w:rPr>
              <w:t>及第五十七條規定取得運銷、製造許可，並符合藥物優良製造準則及西藥優良運銷準則之規定，始得製造及運銷再生醫療製劑。</w:t>
            </w:r>
          </w:p>
          <w:p w14:paraId="22F4C5E3" w14:textId="4BB325B4" w:rsidR="00196A2B" w:rsidRPr="00CB75B9" w:rsidRDefault="00196A2B" w:rsidP="00845992">
            <w:pPr>
              <w:ind w:firstLineChars="117" w:firstLine="281"/>
              <w:rPr>
                <w:rFonts w:ascii="標楷體" w:eastAsia="標楷體" w:hAnsi="標楷體"/>
              </w:rPr>
            </w:pPr>
            <w:r>
              <w:rPr>
                <w:rFonts w:ascii="標楷體" w:eastAsia="標楷體" w:hAnsi="標楷體" w:hint="eastAsia"/>
              </w:rPr>
              <w:t>違反前項規定，未經許可擅自製造或運銷，或未符合藥物優良製造準則或西藥優良運銷準則之規定製造或運銷者，依藥事法規定裁處。</w:t>
            </w:r>
          </w:p>
        </w:tc>
        <w:tc>
          <w:tcPr>
            <w:tcW w:w="3210" w:type="dxa"/>
          </w:tcPr>
          <w:p w14:paraId="589021CF" w14:textId="77777777" w:rsidR="00D340F5" w:rsidRPr="00A45A0A" w:rsidRDefault="00D340F5" w:rsidP="00A45A0A">
            <w:pPr>
              <w:jc w:val="both"/>
              <w:rPr>
                <w:rFonts w:ascii="標楷體" w:eastAsia="標楷體" w:hAnsi="標楷體"/>
              </w:rPr>
            </w:pPr>
            <w:r w:rsidRPr="00A45A0A">
              <w:rPr>
                <w:rFonts w:ascii="標楷體" w:eastAsia="標楷體" w:hAnsi="標楷體" w:hint="eastAsia"/>
              </w:rPr>
              <w:t>為確保再生醫療製劑製造及</w:t>
            </w:r>
          </w:p>
          <w:p w14:paraId="765989B2" w14:textId="77777777" w:rsidR="00D340F5" w:rsidRDefault="00D340F5" w:rsidP="00D340F5">
            <w:pPr>
              <w:pStyle w:val="Default"/>
              <w:jc w:val="both"/>
              <w:rPr>
                <w:sz w:val="23"/>
                <w:szCs w:val="23"/>
              </w:rPr>
            </w:pPr>
            <w:r w:rsidRPr="00A45A0A">
              <w:rPr>
                <w:rFonts w:hint="eastAsia"/>
                <w:sz w:val="23"/>
                <w:szCs w:val="23"/>
              </w:rPr>
              <w:t>運銷之品質，明定應經中央主管機關合格，始得製造及運銷。另授權中央主管機關訂定再生醫療製劑優良製造及運銷準則。</w:t>
            </w:r>
            <w:r>
              <w:rPr>
                <w:sz w:val="23"/>
                <w:szCs w:val="23"/>
              </w:rPr>
              <w:t xml:space="preserve"> </w:t>
            </w:r>
          </w:p>
          <w:p w14:paraId="23586471" w14:textId="67C3AB51" w:rsidR="00196A2B" w:rsidRPr="00D340F5" w:rsidRDefault="00196A2B" w:rsidP="00D340F5">
            <w:pPr>
              <w:ind w:left="372" w:hangingChars="155" w:hanging="372"/>
              <w:jc w:val="both"/>
              <w:rPr>
                <w:rFonts w:ascii="標楷體" w:eastAsia="標楷體" w:hAnsi="標楷體"/>
              </w:rPr>
            </w:pPr>
          </w:p>
        </w:tc>
      </w:tr>
      <w:tr w:rsidR="00196A2B" w:rsidRPr="00862C87" w14:paraId="05AC6C54" w14:textId="77777777" w:rsidTr="00206A0F">
        <w:trPr>
          <w:trHeight w:val="3860"/>
        </w:trPr>
        <w:tc>
          <w:tcPr>
            <w:tcW w:w="3209" w:type="dxa"/>
          </w:tcPr>
          <w:p w14:paraId="6302DF52" w14:textId="77777777" w:rsidR="00196A2B" w:rsidRPr="00862C87" w:rsidRDefault="00196A2B" w:rsidP="00240965">
            <w:pPr>
              <w:rPr>
                <w:rFonts w:ascii="標楷體" w:eastAsia="標楷體" w:hAnsi="標楷體"/>
              </w:rPr>
            </w:pPr>
            <w:r w:rsidRPr="00862C87">
              <w:rPr>
                <w:rFonts w:ascii="標楷體" w:eastAsia="標楷體" w:hAnsi="標楷體"/>
              </w:rPr>
              <w:lastRenderedPageBreak/>
              <w:t xml:space="preserve">第十九條 </w:t>
            </w:r>
          </w:p>
          <w:p w14:paraId="55C9611C" w14:textId="77777777" w:rsidR="00196A2B" w:rsidRPr="00862C87" w:rsidRDefault="00196A2B" w:rsidP="0038242D">
            <w:pPr>
              <w:ind w:firstLineChars="118" w:firstLine="283"/>
              <w:rPr>
                <w:rFonts w:ascii="標楷體" w:eastAsia="標楷體" w:hAnsi="標楷體"/>
              </w:rPr>
            </w:pPr>
            <w:r w:rsidRPr="00862C87">
              <w:rPr>
                <w:rFonts w:ascii="標楷體" w:eastAsia="標楷體" w:hAnsi="標楷體"/>
              </w:rPr>
              <w:t>取得</w:t>
            </w:r>
            <w:proofErr w:type="gramStart"/>
            <w:r w:rsidRPr="00862C87">
              <w:rPr>
                <w:rFonts w:ascii="標楷體" w:eastAsia="標楷體" w:hAnsi="標楷體"/>
              </w:rPr>
              <w:t>有附款許可</w:t>
            </w:r>
            <w:proofErr w:type="gramEnd"/>
            <w:r w:rsidRPr="00862C87">
              <w:rPr>
                <w:rFonts w:ascii="標楷體" w:eastAsia="標楷體" w:hAnsi="標楷體"/>
              </w:rPr>
              <w:t xml:space="preserve">之再生醫療製劑，發生不良反應致死亡、障礙或嚴重疾病時，依第十條第一項第三款核定之救濟措施辦理。 </w:t>
            </w:r>
          </w:p>
          <w:p w14:paraId="74141B5A" w14:textId="77777777" w:rsidR="00196A2B" w:rsidRDefault="00196A2B" w:rsidP="00725773">
            <w:pPr>
              <w:ind w:firstLineChars="118" w:firstLine="283"/>
              <w:rPr>
                <w:rFonts w:ascii="標楷體" w:eastAsia="標楷體" w:hAnsi="標楷體"/>
                <w:b/>
                <w:bCs/>
                <w:u w:val="single"/>
              </w:rPr>
            </w:pPr>
            <w:r w:rsidRPr="00862C87">
              <w:rPr>
                <w:rFonts w:ascii="標楷體" w:eastAsia="標楷體" w:hAnsi="標楷體"/>
              </w:rPr>
              <w:t>取得許可證之再生醫療製劑，</w:t>
            </w:r>
            <w:r w:rsidRPr="000B45E4">
              <w:rPr>
                <w:rFonts w:ascii="標楷體" w:eastAsia="標楷體" w:hAnsi="標楷體"/>
                <w:b/>
                <w:bCs/>
                <w:u w:val="single"/>
              </w:rPr>
              <w:t>其不良反應之救濟，另以法律定之。於完成立法前， 暫時</w:t>
            </w:r>
            <w:proofErr w:type="gramStart"/>
            <w:r w:rsidRPr="000B45E4">
              <w:rPr>
                <w:rFonts w:ascii="標楷體" w:eastAsia="標楷體" w:hAnsi="標楷體" w:hint="eastAsia"/>
                <w:b/>
                <w:bCs/>
                <w:u w:val="single"/>
              </w:rPr>
              <w:t>準</w:t>
            </w:r>
            <w:proofErr w:type="gramEnd"/>
            <w:r w:rsidRPr="000B45E4">
              <w:rPr>
                <w:rFonts w:ascii="標楷體" w:eastAsia="標楷體" w:hAnsi="標楷體"/>
                <w:b/>
                <w:bCs/>
                <w:u w:val="single"/>
              </w:rPr>
              <w:t>用藥害救濟法之規定</w:t>
            </w:r>
            <w:r w:rsidRPr="000B45E4">
              <w:rPr>
                <w:rFonts w:ascii="標楷體" w:eastAsia="標楷體" w:hAnsi="標楷體" w:hint="eastAsia"/>
                <w:b/>
                <w:bCs/>
                <w:u w:val="single"/>
              </w:rPr>
              <w:t>。</w:t>
            </w:r>
          </w:p>
          <w:p w14:paraId="42F61931" w14:textId="18118B27" w:rsidR="00CF46F9" w:rsidRPr="00725773" w:rsidRDefault="00CF46F9" w:rsidP="00725773">
            <w:pPr>
              <w:ind w:firstLineChars="118" w:firstLine="283"/>
              <w:rPr>
                <w:rFonts w:ascii="標楷體" w:eastAsia="標楷體" w:hAnsi="標楷體"/>
                <w:b/>
                <w:bCs/>
                <w:u w:val="single"/>
              </w:rPr>
            </w:pPr>
          </w:p>
        </w:tc>
        <w:tc>
          <w:tcPr>
            <w:tcW w:w="3209" w:type="dxa"/>
          </w:tcPr>
          <w:p w14:paraId="45E702CA" w14:textId="77777777" w:rsidR="00196A2B" w:rsidRDefault="00196A2B" w:rsidP="00240965">
            <w:pPr>
              <w:rPr>
                <w:rFonts w:ascii="標楷體" w:eastAsia="標楷體" w:hAnsi="標楷體"/>
              </w:rPr>
            </w:pPr>
            <w:r>
              <w:rPr>
                <w:rFonts w:ascii="標楷體" w:eastAsia="標楷體" w:hAnsi="標楷體" w:hint="eastAsia"/>
              </w:rPr>
              <w:t>第十九條</w:t>
            </w:r>
          </w:p>
          <w:p w14:paraId="4A62D866" w14:textId="486CAA7B" w:rsidR="00196A2B" w:rsidRPr="00862C87" w:rsidRDefault="00196A2B" w:rsidP="0038242D">
            <w:pPr>
              <w:ind w:firstLineChars="117" w:firstLine="281"/>
              <w:rPr>
                <w:rFonts w:ascii="標楷體" w:eastAsia="標楷體" w:hAnsi="標楷體"/>
              </w:rPr>
            </w:pPr>
            <w:r>
              <w:rPr>
                <w:rFonts w:ascii="標楷體" w:eastAsia="標楷體" w:hAnsi="標楷體" w:hint="eastAsia"/>
              </w:rPr>
              <w:t>使用</w:t>
            </w:r>
            <w:r w:rsidRPr="00862C87">
              <w:rPr>
                <w:rFonts w:ascii="標楷體" w:eastAsia="標楷體" w:hAnsi="標楷體"/>
              </w:rPr>
              <w:t>取得</w:t>
            </w:r>
            <w:proofErr w:type="gramStart"/>
            <w:r w:rsidRPr="00862C87">
              <w:rPr>
                <w:rFonts w:ascii="標楷體" w:eastAsia="標楷體" w:hAnsi="標楷體"/>
              </w:rPr>
              <w:t>有附款許可</w:t>
            </w:r>
            <w:proofErr w:type="gramEnd"/>
            <w:r w:rsidRPr="00862C87">
              <w:rPr>
                <w:rFonts w:ascii="標楷體" w:eastAsia="標楷體" w:hAnsi="標楷體"/>
              </w:rPr>
              <w:t>之再生醫療製劑，發生不良反應致死亡、障礙或嚴重疾病時，依</w:t>
            </w:r>
            <w:r>
              <w:rPr>
                <w:rFonts w:ascii="標楷體" w:eastAsia="標楷體" w:hAnsi="標楷體" w:hint="eastAsia"/>
              </w:rPr>
              <w:t>所附加之第十條第一項第三款救濟措施辦理；使用取得藥品許可證之再生醫療製劑，</w:t>
            </w:r>
            <w:r w:rsidR="000B45E4">
              <w:rPr>
                <w:rFonts w:ascii="標楷體" w:eastAsia="標楷體" w:hAnsi="標楷體" w:hint="eastAsia"/>
              </w:rPr>
              <w:t>適</w:t>
            </w:r>
            <w:r>
              <w:rPr>
                <w:rFonts w:ascii="標楷體" w:eastAsia="標楷體" w:hAnsi="標楷體" w:hint="eastAsia"/>
              </w:rPr>
              <w:t>用藥害救濟法之規定</w:t>
            </w:r>
            <w:r w:rsidRPr="00862C87">
              <w:rPr>
                <w:rFonts w:ascii="標楷體" w:eastAsia="標楷體" w:hAnsi="標楷體"/>
              </w:rPr>
              <w:t xml:space="preserve">。 </w:t>
            </w:r>
          </w:p>
          <w:p w14:paraId="763140A4" w14:textId="14C4330C" w:rsidR="00196A2B" w:rsidRPr="00085FCB" w:rsidRDefault="00196A2B" w:rsidP="00240965">
            <w:pPr>
              <w:rPr>
                <w:rFonts w:ascii="標楷體" w:eastAsia="標楷體" w:hAnsi="標楷體"/>
              </w:rPr>
            </w:pPr>
          </w:p>
        </w:tc>
        <w:tc>
          <w:tcPr>
            <w:tcW w:w="3210" w:type="dxa"/>
          </w:tcPr>
          <w:p w14:paraId="5A89DD98" w14:textId="04199D0E" w:rsidR="00196A2B" w:rsidRPr="00862C87" w:rsidRDefault="00196A2B" w:rsidP="00AA40FD">
            <w:pPr>
              <w:jc w:val="both"/>
              <w:rPr>
                <w:rFonts w:ascii="標楷體" w:eastAsia="標楷體" w:hAnsi="標楷體"/>
              </w:rPr>
            </w:pPr>
            <w:r w:rsidRPr="00862C87">
              <w:rPr>
                <w:rFonts w:ascii="標楷體" w:eastAsia="標楷體" w:hAnsi="標楷體" w:hint="eastAsia"/>
              </w:rPr>
              <w:t>與再生醫療</w:t>
            </w:r>
            <w:r>
              <w:rPr>
                <w:rFonts w:ascii="標楷體" w:eastAsia="標楷體" w:hAnsi="標楷體" w:hint="eastAsia"/>
              </w:rPr>
              <w:t>法</w:t>
            </w:r>
            <w:r w:rsidRPr="00862C87">
              <w:rPr>
                <w:rFonts w:ascii="標楷體" w:eastAsia="標楷體" w:hAnsi="標楷體" w:hint="eastAsia"/>
              </w:rPr>
              <w:t>之滾動修正條款相配套，再生醫療不良反應救濟之特別法應於再生醫療</w:t>
            </w:r>
            <w:r>
              <w:rPr>
                <w:rFonts w:ascii="標楷體" w:eastAsia="標楷體" w:hAnsi="標楷體" w:hint="eastAsia"/>
              </w:rPr>
              <w:t>法</w:t>
            </w:r>
            <w:r w:rsidRPr="00862C87">
              <w:rPr>
                <w:rFonts w:ascii="標楷體" w:eastAsia="標楷體" w:hAnsi="標楷體" w:hint="eastAsia"/>
              </w:rPr>
              <w:t>施行後</w:t>
            </w:r>
            <w:r w:rsidR="00AA40FD" w:rsidRPr="00A45A0A">
              <w:rPr>
                <w:rFonts w:ascii="標楷體" w:eastAsia="標楷體" w:hAnsi="標楷體" w:hint="eastAsia"/>
              </w:rPr>
              <w:t>三</w:t>
            </w:r>
            <w:r w:rsidRPr="00862C87">
              <w:rPr>
                <w:rFonts w:ascii="標楷體" w:eastAsia="標楷體" w:hAnsi="標楷體" w:hint="eastAsia"/>
              </w:rPr>
              <w:t>年內完成立法</w:t>
            </w:r>
            <w:r>
              <w:rPr>
                <w:rFonts w:ascii="標楷體" w:eastAsia="標楷體" w:hAnsi="標楷體" w:hint="eastAsia"/>
              </w:rPr>
              <w:t>。</w:t>
            </w:r>
          </w:p>
        </w:tc>
      </w:tr>
    </w:tbl>
    <w:p w14:paraId="015971D5" w14:textId="77777777" w:rsidR="00240965" w:rsidRPr="00862C87" w:rsidRDefault="00240965" w:rsidP="00240965">
      <w:pPr>
        <w:rPr>
          <w:rFonts w:ascii="標楷體" w:eastAsia="標楷體" w:hAnsi="標楷體"/>
        </w:rPr>
      </w:pPr>
    </w:p>
    <w:sectPr w:rsidR="00240965" w:rsidRPr="00862C87" w:rsidSect="00206A0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9FD2" w14:textId="77777777" w:rsidR="00CD1F4F" w:rsidRDefault="00CD1F4F" w:rsidP="0044425E">
      <w:r>
        <w:separator/>
      </w:r>
    </w:p>
  </w:endnote>
  <w:endnote w:type="continuationSeparator" w:id="0">
    <w:p w14:paraId="0094E849" w14:textId="77777777" w:rsidR="00CD1F4F" w:rsidRDefault="00CD1F4F" w:rsidP="0044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83712"/>
      <w:docPartObj>
        <w:docPartGallery w:val="Page Numbers (Bottom of Page)"/>
        <w:docPartUnique/>
      </w:docPartObj>
    </w:sdtPr>
    <w:sdtContent>
      <w:p w14:paraId="7E3FA113" w14:textId="3BE68907" w:rsidR="0044425E" w:rsidRDefault="0044425E">
        <w:pPr>
          <w:pStyle w:val="a7"/>
          <w:jc w:val="center"/>
        </w:pPr>
        <w:r>
          <w:fldChar w:fldCharType="begin"/>
        </w:r>
        <w:r>
          <w:instrText>PAGE   \* MERGEFORMAT</w:instrText>
        </w:r>
        <w:r>
          <w:fldChar w:fldCharType="separate"/>
        </w:r>
        <w:r w:rsidR="00AA40FD" w:rsidRPr="00AA40FD">
          <w:rPr>
            <w:noProof/>
            <w:lang w:val="zh-TW"/>
          </w:rPr>
          <w:t>1</w:t>
        </w:r>
        <w:r>
          <w:fldChar w:fldCharType="end"/>
        </w:r>
      </w:p>
    </w:sdtContent>
  </w:sdt>
  <w:p w14:paraId="1464CB59" w14:textId="77777777" w:rsidR="0044425E" w:rsidRDefault="004442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DA54" w14:textId="77777777" w:rsidR="00CD1F4F" w:rsidRDefault="00CD1F4F" w:rsidP="0044425E">
      <w:r>
        <w:separator/>
      </w:r>
    </w:p>
  </w:footnote>
  <w:footnote w:type="continuationSeparator" w:id="0">
    <w:p w14:paraId="4E913A0A" w14:textId="77777777" w:rsidR="00CD1F4F" w:rsidRDefault="00CD1F4F" w:rsidP="0044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B6A"/>
    <w:multiLevelType w:val="hybridMultilevel"/>
    <w:tmpl w:val="506A57AE"/>
    <w:lvl w:ilvl="0" w:tplc="BF281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103CCD"/>
    <w:multiLevelType w:val="hybridMultilevel"/>
    <w:tmpl w:val="39D4E3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645DDF"/>
    <w:multiLevelType w:val="hybridMultilevel"/>
    <w:tmpl w:val="F1F4B6F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16cid:durableId="24916137">
    <w:abstractNumId w:val="1"/>
  </w:num>
  <w:num w:numId="2" w16cid:durableId="1054431321">
    <w:abstractNumId w:val="0"/>
  </w:num>
  <w:num w:numId="3" w16cid:durableId="1878929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65"/>
    <w:rsid w:val="00001D26"/>
    <w:rsid w:val="000200F9"/>
    <w:rsid w:val="00035C7E"/>
    <w:rsid w:val="00085FCB"/>
    <w:rsid w:val="000A6F1D"/>
    <w:rsid w:val="000B45E4"/>
    <w:rsid w:val="000D7B81"/>
    <w:rsid w:val="000E33B6"/>
    <w:rsid w:val="000E4983"/>
    <w:rsid w:val="001465AD"/>
    <w:rsid w:val="00157505"/>
    <w:rsid w:val="0018413C"/>
    <w:rsid w:val="00196A2B"/>
    <w:rsid w:val="00206A0F"/>
    <w:rsid w:val="00230A6B"/>
    <w:rsid w:val="002332EF"/>
    <w:rsid w:val="00240965"/>
    <w:rsid w:val="003005F5"/>
    <w:rsid w:val="00330BB6"/>
    <w:rsid w:val="00345A0C"/>
    <w:rsid w:val="00353C10"/>
    <w:rsid w:val="0038242D"/>
    <w:rsid w:val="003A026B"/>
    <w:rsid w:val="003E6772"/>
    <w:rsid w:val="00406BA9"/>
    <w:rsid w:val="00423B5E"/>
    <w:rsid w:val="00427A67"/>
    <w:rsid w:val="0044425E"/>
    <w:rsid w:val="00481BB6"/>
    <w:rsid w:val="004A78A6"/>
    <w:rsid w:val="0060696A"/>
    <w:rsid w:val="00657A16"/>
    <w:rsid w:val="00695DE4"/>
    <w:rsid w:val="006A2B86"/>
    <w:rsid w:val="006A2EF2"/>
    <w:rsid w:val="006A78F5"/>
    <w:rsid w:val="006C4811"/>
    <w:rsid w:val="00700B5C"/>
    <w:rsid w:val="00702FA7"/>
    <w:rsid w:val="00713CF6"/>
    <w:rsid w:val="00725773"/>
    <w:rsid w:val="00755BC4"/>
    <w:rsid w:val="00764570"/>
    <w:rsid w:val="00845992"/>
    <w:rsid w:val="00862C87"/>
    <w:rsid w:val="00863A4A"/>
    <w:rsid w:val="00886E68"/>
    <w:rsid w:val="008F1A49"/>
    <w:rsid w:val="00930512"/>
    <w:rsid w:val="00962153"/>
    <w:rsid w:val="009C268D"/>
    <w:rsid w:val="009C60A1"/>
    <w:rsid w:val="00A45A0A"/>
    <w:rsid w:val="00AA40FD"/>
    <w:rsid w:val="00AE705D"/>
    <w:rsid w:val="00B64CD4"/>
    <w:rsid w:val="00B75AD4"/>
    <w:rsid w:val="00BB34CD"/>
    <w:rsid w:val="00C2037A"/>
    <w:rsid w:val="00C24433"/>
    <w:rsid w:val="00C52D6E"/>
    <w:rsid w:val="00C67C25"/>
    <w:rsid w:val="00C77255"/>
    <w:rsid w:val="00CB042C"/>
    <w:rsid w:val="00CB75B9"/>
    <w:rsid w:val="00CD1F4F"/>
    <w:rsid w:val="00CF46F9"/>
    <w:rsid w:val="00D340F5"/>
    <w:rsid w:val="00D47BB0"/>
    <w:rsid w:val="00D67FB6"/>
    <w:rsid w:val="00D72228"/>
    <w:rsid w:val="00E158FF"/>
    <w:rsid w:val="00E329A3"/>
    <w:rsid w:val="00E46FBC"/>
    <w:rsid w:val="00EA4C83"/>
    <w:rsid w:val="00F524B5"/>
    <w:rsid w:val="00F6053C"/>
    <w:rsid w:val="00F6322C"/>
    <w:rsid w:val="00F67BF2"/>
    <w:rsid w:val="00FB0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C1A1E"/>
  <w15:chartTrackingRefBased/>
  <w15:docId w15:val="{D652C7AA-3FA4-4D77-9915-533A30D0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65"/>
    <w:pPr>
      <w:ind w:leftChars="200" w:left="480"/>
    </w:pPr>
  </w:style>
  <w:style w:type="table" w:styleId="a4">
    <w:name w:val="Table Grid"/>
    <w:basedOn w:val="a1"/>
    <w:uiPriority w:val="59"/>
    <w:rsid w:val="0024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425E"/>
    <w:pPr>
      <w:tabs>
        <w:tab w:val="center" w:pos="4153"/>
        <w:tab w:val="right" w:pos="8306"/>
      </w:tabs>
      <w:snapToGrid w:val="0"/>
    </w:pPr>
    <w:rPr>
      <w:sz w:val="20"/>
      <w:szCs w:val="20"/>
    </w:rPr>
  </w:style>
  <w:style w:type="character" w:customStyle="1" w:styleId="a6">
    <w:name w:val="頁首 字元"/>
    <w:basedOn w:val="a0"/>
    <w:link w:val="a5"/>
    <w:uiPriority w:val="99"/>
    <w:rsid w:val="0044425E"/>
    <w:rPr>
      <w:sz w:val="20"/>
      <w:szCs w:val="20"/>
    </w:rPr>
  </w:style>
  <w:style w:type="paragraph" w:styleId="a7">
    <w:name w:val="footer"/>
    <w:basedOn w:val="a"/>
    <w:link w:val="a8"/>
    <w:uiPriority w:val="99"/>
    <w:unhideWhenUsed/>
    <w:rsid w:val="0044425E"/>
    <w:pPr>
      <w:tabs>
        <w:tab w:val="center" w:pos="4153"/>
        <w:tab w:val="right" w:pos="8306"/>
      </w:tabs>
      <w:snapToGrid w:val="0"/>
    </w:pPr>
    <w:rPr>
      <w:sz w:val="20"/>
      <w:szCs w:val="20"/>
    </w:rPr>
  </w:style>
  <w:style w:type="character" w:customStyle="1" w:styleId="a8">
    <w:name w:val="頁尾 字元"/>
    <w:basedOn w:val="a0"/>
    <w:link w:val="a7"/>
    <w:uiPriority w:val="99"/>
    <w:rsid w:val="0044425E"/>
    <w:rPr>
      <w:sz w:val="20"/>
      <w:szCs w:val="20"/>
    </w:rPr>
  </w:style>
  <w:style w:type="paragraph" w:customStyle="1" w:styleId="Default">
    <w:name w:val="Default"/>
    <w:rsid w:val="00D340F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官 育如</dc:creator>
  <cp:keywords/>
  <dc:description/>
  <cp:lastModifiedBy>官 育如</cp:lastModifiedBy>
  <cp:revision>30</cp:revision>
  <cp:lastPrinted>2023-02-08T11:07:00Z</cp:lastPrinted>
  <dcterms:created xsi:type="dcterms:W3CDTF">2023-02-08T09:18:00Z</dcterms:created>
  <dcterms:modified xsi:type="dcterms:W3CDTF">2023-02-09T03:40:00Z</dcterms:modified>
</cp:coreProperties>
</file>