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0558D" w14:textId="60D4BB05" w:rsidR="00EF149C" w:rsidRPr="00E8519F" w:rsidRDefault="00EF149C" w:rsidP="00E8519F">
      <w:pPr>
        <w:spacing w:line="400" w:lineRule="exact"/>
        <w:ind w:left="20"/>
        <w:jc w:val="center"/>
        <w:rPr>
          <w:rFonts w:ascii="標楷體" w:eastAsia="標楷體" w:hAnsi="標楷體"/>
          <w:sz w:val="36"/>
          <w:szCs w:val="24"/>
        </w:rPr>
      </w:pPr>
      <w:r w:rsidRPr="00E8519F">
        <w:rPr>
          <w:rFonts w:ascii="標楷體" w:eastAsia="標楷體" w:hAnsi="標楷體"/>
          <w:spacing w:val="-4"/>
          <w:sz w:val="36"/>
          <w:szCs w:val="24"/>
        </w:rPr>
        <w:t>長照服務照顧組合建議書(新增</w:t>
      </w:r>
      <w:r w:rsidRPr="00E8519F">
        <w:rPr>
          <w:rFonts w:ascii="標楷體" w:eastAsia="標楷體" w:hAnsi="標楷體"/>
          <w:spacing w:val="-10"/>
          <w:sz w:val="36"/>
          <w:szCs w:val="24"/>
        </w:rPr>
        <w:t>)</w:t>
      </w:r>
    </w:p>
    <w:p w14:paraId="2E8B3C02" w14:textId="77777777" w:rsidR="00EF149C" w:rsidRDefault="00EF149C" w:rsidP="00E8519F">
      <w:pPr>
        <w:pStyle w:val="ae"/>
        <w:tabs>
          <w:tab w:val="left" w:pos="5686"/>
        </w:tabs>
        <w:spacing w:line="400" w:lineRule="exact"/>
        <w:ind w:left="20" w:right="18"/>
        <w:rPr>
          <w:rFonts w:ascii="標楷體" w:eastAsia="標楷體" w:hAnsi="標楷體"/>
          <w:spacing w:val="-2"/>
        </w:rPr>
      </w:pPr>
    </w:p>
    <w:p w14:paraId="3FA48A78" w14:textId="0B0A8B36" w:rsidR="00EF149C" w:rsidRPr="00FC4456" w:rsidRDefault="00EF149C" w:rsidP="00E8519F">
      <w:pPr>
        <w:pStyle w:val="ae"/>
        <w:tabs>
          <w:tab w:val="left" w:pos="5686"/>
        </w:tabs>
        <w:spacing w:line="400" w:lineRule="exact"/>
        <w:ind w:left="20" w:right="18"/>
        <w:rPr>
          <w:rFonts w:ascii="標楷體" w:eastAsia="標楷體" w:hAnsi="標楷體"/>
          <w:spacing w:val="-2"/>
        </w:rPr>
      </w:pPr>
      <w:r w:rsidRPr="00FC4456">
        <w:rPr>
          <w:rFonts w:ascii="標楷體" w:eastAsia="標楷體" w:hAnsi="標楷體"/>
          <w:spacing w:val="-2"/>
        </w:rPr>
        <w:t>提案單位：</w:t>
      </w:r>
      <w:r w:rsidRPr="00FC4456">
        <w:rPr>
          <w:rFonts w:ascii="標楷體" w:eastAsia="標楷體" w:hAnsi="標楷體" w:hint="eastAsia"/>
          <w:spacing w:val="-2"/>
        </w:rPr>
        <w:t>中華民國醫師公會全國聯合會</w:t>
      </w:r>
    </w:p>
    <w:p w14:paraId="2660F1AA" w14:textId="77777777" w:rsidR="00EF149C" w:rsidRPr="00FC4456" w:rsidRDefault="00EF149C" w:rsidP="00E8519F">
      <w:pPr>
        <w:pStyle w:val="ae"/>
        <w:tabs>
          <w:tab w:val="left" w:pos="5686"/>
        </w:tabs>
        <w:spacing w:line="400" w:lineRule="exact"/>
        <w:ind w:left="20" w:right="18"/>
        <w:rPr>
          <w:rFonts w:ascii="標楷體" w:eastAsia="標楷體" w:hAnsi="標楷體"/>
        </w:rPr>
      </w:pPr>
      <w:r w:rsidRPr="00FC4456">
        <w:rPr>
          <w:rFonts w:ascii="標楷體" w:eastAsia="標楷體" w:hAnsi="標楷體"/>
          <w:spacing w:val="-2"/>
        </w:rPr>
        <w:t>提案單位聯絡資訊：</w:t>
      </w:r>
    </w:p>
    <w:p w14:paraId="7023D8F4" w14:textId="7D14F652" w:rsidR="00EF149C" w:rsidRPr="00FC4456" w:rsidRDefault="00EF149C" w:rsidP="00E8519F">
      <w:pPr>
        <w:pStyle w:val="ae"/>
        <w:tabs>
          <w:tab w:val="left" w:pos="5326"/>
        </w:tabs>
        <w:spacing w:line="400" w:lineRule="exact"/>
        <w:ind w:left="499" w:right="379" w:hanging="1"/>
        <w:jc w:val="both"/>
        <w:rPr>
          <w:rFonts w:ascii="標楷體" w:eastAsia="標楷體" w:hAnsi="標楷體"/>
          <w:u w:val="single"/>
        </w:rPr>
      </w:pPr>
      <w:r w:rsidRPr="00FC4456">
        <w:rPr>
          <w:rFonts w:ascii="標楷體" w:eastAsia="標楷體" w:hAnsi="標楷體"/>
          <w:spacing w:val="-2"/>
        </w:rPr>
        <w:t>聯絡人及職稱：</w:t>
      </w:r>
      <w:r w:rsidR="007179B1">
        <w:rPr>
          <w:rFonts w:ascii="標楷體" w:eastAsia="標楷體" w:hAnsi="標楷體" w:hint="eastAsia"/>
          <w:spacing w:val="-2"/>
        </w:rPr>
        <w:t>陳威利</w:t>
      </w:r>
    </w:p>
    <w:p w14:paraId="2A46EC72" w14:textId="53BD9244" w:rsidR="00EF149C" w:rsidRPr="00FC4456" w:rsidRDefault="00EF149C" w:rsidP="00E8519F">
      <w:pPr>
        <w:pStyle w:val="ae"/>
        <w:tabs>
          <w:tab w:val="left" w:pos="5326"/>
        </w:tabs>
        <w:spacing w:line="400" w:lineRule="exact"/>
        <w:ind w:left="499" w:right="379" w:hanging="1"/>
        <w:jc w:val="both"/>
        <w:rPr>
          <w:rFonts w:ascii="標楷體" w:eastAsia="標楷體" w:hAnsi="標楷體"/>
          <w:u w:val="single"/>
        </w:rPr>
      </w:pPr>
      <w:r w:rsidRPr="00FC4456">
        <w:rPr>
          <w:rFonts w:ascii="標楷體" w:eastAsia="標楷體" w:hAnsi="標楷體"/>
          <w:spacing w:val="-2"/>
        </w:rPr>
        <w:t>聯絡電話：</w:t>
      </w:r>
      <w:r w:rsidR="007179B1">
        <w:rPr>
          <w:rFonts w:ascii="標楷體" w:eastAsia="標楷體" w:hAnsi="標楷體" w:hint="eastAsia"/>
          <w:spacing w:val="-2"/>
        </w:rPr>
        <w:t>0</w:t>
      </w:r>
      <w:r w:rsidR="007179B1">
        <w:rPr>
          <w:rFonts w:ascii="標楷體" w:eastAsia="標楷體" w:hAnsi="標楷體"/>
          <w:spacing w:val="-2"/>
        </w:rPr>
        <w:t>2-27527286</w:t>
      </w:r>
      <w:r w:rsidR="007179B1">
        <w:rPr>
          <w:rFonts w:ascii="標楷體" w:eastAsia="標楷體" w:hAnsi="標楷體" w:hint="eastAsia"/>
          <w:spacing w:val="-2"/>
        </w:rPr>
        <w:t>分機1</w:t>
      </w:r>
      <w:r w:rsidR="007179B1">
        <w:rPr>
          <w:rFonts w:ascii="標楷體" w:eastAsia="標楷體" w:hAnsi="標楷體"/>
          <w:spacing w:val="-2"/>
        </w:rPr>
        <w:t>23</w:t>
      </w:r>
    </w:p>
    <w:p w14:paraId="7DE9A927" w14:textId="77777777" w:rsidR="00EF149C" w:rsidRPr="00FC4456" w:rsidRDefault="00EF149C" w:rsidP="00E8519F">
      <w:pPr>
        <w:pStyle w:val="ae"/>
        <w:tabs>
          <w:tab w:val="left" w:pos="5326"/>
        </w:tabs>
        <w:spacing w:line="400" w:lineRule="exact"/>
        <w:ind w:left="499" w:right="379" w:hanging="1"/>
        <w:jc w:val="both"/>
        <w:rPr>
          <w:rFonts w:ascii="標楷體" w:eastAsia="標楷體" w:hAnsi="標楷體"/>
        </w:rPr>
      </w:pPr>
      <w:r w:rsidRPr="00FC4456">
        <w:rPr>
          <w:rFonts w:ascii="標楷體" w:eastAsia="標楷體" w:hAnsi="標楷體"/>
          <w:spacing w:val="-2"/>
        </w:rPr>
        <w:t>聯絡地址</w:t>
      </w:r>
      <w:r w:rsidRPr="00FC4456">
        <w:rPr>
          <w:rFonts w:ascii="標楷體" w:eastAsia="標楷體" w:hAnsi="標楷體"/>
          <w:spacing w:val="-10"/>
        </w:rPr>
        <w:t>：</w:t>
      </w:r>
      <w:r w:rsidRPr="00FC4456">
        <w:rPr>
          <w:rFonts w:ascii="標楷體" w:eastAsia="標楷體" w:hAnsi="標楷體" w:hint="eastAsia"/>
          <w:spacing w:val="-10"/>
        </w:rPr>
        <w:t>台北市大安區安和路一段2</w:t>
      </w:r>
      <w:r w:rsidRPr="00FC4456">
        <w:rPr>
          <w:rFonts w:ascii="標楷體" w:eastAsia="標楷體" w:hAnsi="標楷體"/>
          <w:spacing w:val="-10"/>
        </w:rPr>
        <w:t>9</w:t>
      </w:r>
      <w:r w:rsidRPr="00FC4456">
        <w:rPr>
          <w:rFonts w:ascii="標楷體" w:eastAsia="標楷體" w:hAnsi="標楷體" w:hint="eastAsia"/>
          <w:spacing w:val="-10"/>
        </w:rPr>
        <w:t>號9樓</w:t>
      </w:r>
    </w:p>
    <w:p w14:paraId="79C140E3" w14:textId="417095CE" w:rsidR="00083972" w:rsidRDefault="00EF149C" w:rsidP="00083972">
      <w:pPr>
        <w:pStyle w:val="ae"/>
        <w:tabs>
          <w:tab w:val="left" w:pos="5295"/>
        </w:tabs>
        <w:spacing w:afterLines="50" w:after="180" w:line="400" w:lineRule="exact"/>
        <w:ind w:left="499"/>
        <w:rPr>
          <w:rFonts w:ascii="標楷體" w:eastAsia="標楷體" w:hAnsi="標楷體"/>
          <w:spacing w:val="-2"/>
        </w:rPr>
      </w:pPr>
      <w:r w:rsidRPr="00FC4456">
        <w:rPr>
          <w:rFonts w:ascii="標楷體" w:eastAsia="標楷體" w:hAnsi="標楷體"/>
          <w:spacing w:val="-2"/>
        </w:rPr>
        <w:t>Email：</w:t>
      </w:r>
      <w:hyperlink r:id="rId8" w:history="1">
        <w:r w:rsidR="00083972" w:rsidRPr="00647D0D">
          <w:rPr>
            <w:rStyle w:val="af0"/>
            <w:rFonts w:ascii="標楷體" w:eastAsia="標楷體" w:hAnsi="標楷體" w:hint="eastAsia"/>
            <w:spacing w:val="-2"/>
          </w:rPr>
          <w:t>i</w:t>
        </w:r>
        <w:r w:rsidR="00083972" w:rsidRPr="00647D0D">
          <w:rPr>
            <w:rStyle w:val="af0"/>
            <w:rFonts w:ascii="標楷體" w:eastAsia="標楷體" w:hAnsi="標楷體"/>
            <w:spacing w:val="-2"/>
          </w:rPr>
          <w:t>li.chen@mail.tma.tw</w:t>
        </w:r>
      </w:hyperlink>
    </w:p>
    <w:tbl>
      <w:tblPr>
        <w:tblStyle w:val="af1"/>
        <w:tblW w:w="8642" w:type="dxa"/>
        <w:tblLook w:val="04A0" w:firstRow="1" w:lastRow="0" w:firstColumn="1" w:lastColumn="0" w:noHBand="0" w:noVBand="1"/>
      </w:tblPr>
      <w:tblGrid>
        <w:gridCol w:w="2428"/>
        <w:gridCol w:w="6214"/>
      </w:tblGrid>
      <w:tr w:rsidR="002D6CFD" w:rsidRPr="00B50690" w14:paraId="0BECF944" w14:textId="5746D18C" w:rsidTr="002D6CFD">
        <w:tc>
          <w:tcPr>
            <w:tcW w:w="2428" w:type="dxa"/>
          </w:tcPr>
          <w:p w14:paraId="3767F7BA" w14:textId="79DD4C1D" w:rsidR="002D6CFD" w:rsidRPr="00B50690" w:rsidRDefault="002D6CFD" w:rsidP="006E3660">
            <w:pPr>
              <w:pStyle w:val="ae"/>
              <w:tabs>
                <w:tab w:val="left" w:pos="5295"/>
              </w:tabs>
              <w:spacing w:line="400" w:lineRule="exact"/>
              <w:rPr>
                <w:rFonts w:ascii="標楷體" w:eastAsia="標楷體" w:hAnsi="標楷體"/>
                <w:spacing w:val="-2"/>
              </w:rPr>
            </w:pPr>
            <w:r w:rsidRPr="00B50690">
              <w:rPr>
                <w:rFonts w:ascii="標楷體" w:eastAsia="標楷體" w:hAnsi="標楷體"/>
                <w:spacing w:val="-5"/>
              </w:rPr>
              <w:t>新增照顧組合名稱</w:t>
            </w:r>
          </w:p>
        </w:tc>
        <w:tc>
          <w:tcPr>
            <w:tcW w:w="6214" w:type="dxa"/>
          </w:tcPr>
          <w:p w14:paraId="2A975D8F" w14:textId="0847C554" w:rsidR="002D6CFD" w:rsidRPr="00B50690" w:rsidRDefault="002D6CFD" w:rsidP="006E3660">
            <w:pPr>
              <w:pStyle w:val="ae"/>
              <w:tabs>
                <w:tab w:val="left" w:pos="5295"/>
              </w:tabs>
              <w:spacing w:line="400" w:lineRule="exact"/>
              <w:rPr>
                <w:rFonts w:ascii="標楷體" w:eastAsia="標楷體" w:hAnsi="標楷體"/>
                <w:spacing w:val="-2"/>
              </w:rPr>
            </w:pPr>
            <w:r w:rsidRPr="00B50690">
              <w:rPr>
                <w:rFonts w:ascii="標楷體" w:eastAsia="標楷體" w:hAnsi="標楷體" w:hint="eastAsia"/>
              </w:rPr>
              <w:t>衰弱症評估</w:t>
            </w:r>
          </w:p>
        </w:tc>
      </w:tr>
      <w:tr w:rsidR="002D6CFD" w:rsidRPr="00B50690" w14:paraId="09CFFFE1" w14:textId="3B0453DD" w:rsidTr="002D6CFD">
        <w:tc>
          <w:tcPr>
            <w:tcW w:w="2428" w:type="dxa"/>
          </w:tcPr>
          <w:p w14:paraId="1D234FAA" w14:textId="73EEC089" w:rsidR="002D6CFD" w:rsidRPr="00B50690" w:rsidRDefault="002D6CFD" w:rsidP="006E3660">
            <w:pPr>
              <w:pStyle w:val="ae"/>
              <w:tabs>
                <w:tab w:val="left" w:pos="5295"/>
              </w:tabs>
              <w:spacing w:line="400" w:lineRule="exact"/>
              <w:rPr>
                <w:rFonts w:ascii="標楷體" w:eastAsia="標楷體" w:hAnsi="標楷體"/>
                <w:spacing w:val="-2"/>
              </w:rPr>
            </w:pPr>
            <w:r w:rsidRPr="00B50690">
              <w:rPr>
                <w:rFonts w:ascii="標楷體" w:eastAsia="標楷體" w:hAnsi="標楷體"/>
                <w:spacing w:val="-5"/>
              </w:rPr>
              <w:t>新增照顧組合類別</w:t>
            </w:r>
          </w:p>
        </w:tc>
        <w:tc>
          <w:tcPr>
            <w:tcW w:w="6214" w:type="dxa"/>
          </w:tcPr>
          <w:p w14:paraId="6EB3FBCE" w14:textId="295D45BA" w:rsidR="002D6CFD" w:rsidRPr="00B50690" w:rsidRDefault="002D6CFD" w:rsidP="006E3660">
            <w:pPr>
              <w:pStyle w:val="ae"/>
              <w:tabs>
                <w:tab w:val="left" w:pos="5295"/>
              </w:tabs>
              <w:spacing w:line="400" w:lineRule="exact"/>
              <w:rPr>
                <w:rFonts w:ascii="標楷體" w:eastAsia="標楷體" w:hAnsi="標楷體"/>
                <w:spacing w:val="-2"/>
              </w:rPr>
            </w:pPr>
            <w:r w:rsidRPr="00B50690">
              <w:rPr>
                <w:rFonts w:ascii="標楷體" w:eastAsia="標楷體" w:hAnsi="標楷體" w:cs="Times New Roman"/>
              </w:rPr>
              <w:t>■</w:t>
            </w:r>
            <w:r w:rsidRPr="00B50690">
              <w:rPr>
                <w:rFonts w:ascii="標楷體" w:eastAsia="標楷體" w:hAnsi="標楷體"/>
              </w:rPr>
              <w:t>A</w:t>
            </w:r>
            <w:r w:rsidRPr="00B50690">
              <w:rPr>
                <w:rFonts w:ascii="標楷體" w:eastAsia="標楷體" w:hAnsi="標楷體"/>
                <w:spacing w:val="-7"/>
              </w:rPr>
              <w:t xml:space="preserve"> </w:t>
            </w:r>
            <w:r w:rsidRPr="00B50690">
              <w:rPr>
                <w:rFonts w:ascii="標楷體" w:eastAsia="標楷體" w:hAnsi="標楷體"/>
              </w:rPr>
              <w:t>碼□B</w:t>
            </w:r>
            <w:r w:rsidRPr="00B50690">
              <w:rPr>
                <w:rFonts w:ascii="標楷體" w:eastAsia="標楷體" w:hAnsi="標楷體"/>
                <w:spacing w:val="-5"/>
              </w:rPr>
              <w:t xml:space="preserve"> </w:t>
            </w:r>
            <w:r w:rsidRPr="00B50690">
              <w:rPr>
                <w:rFonts w:ascii="標楷體" w:eastAsia="標楷體" w:hAnsi="標楷體"/>
              </w:rPr>
              <w:t>碼□C</w:t>
            </w:r>
            <w:r w:rsidRPr="00B50690">
              <w:rPr>
                <w:rFonts w:ascii="標楷體" w:eastAsia="標楷體" w:hAnsi="標楷體"/>
                <w:spacing w:val="-5"/>
              </w:rPr>
              <w:t xml:space="preserve"> </w:t>
            </w:r>
            <w:r w:rsidRPr="00B50690">
              <w:rPr>
                <w:rFonts w:ascii="標楷體" w:eastAsia="標楷體" w:hAnsi="標楷體"/>
              </w:rPr>
              <w:t>碼□D</w:t>
            </w:r>
            <w:r w:rsidRPr="00B50690">
              <w:rPr>
                <w:rFonts w:ascii="標楷體" w:eastAsia="標楷體" w:hAnsi="標楷體"/>
                <w:spacing w:val="-7"/>
              </w:rPr>
              <w:t xml:space="preserve"> </w:t>
            </w:r>
            <w:r w:rsidRPr="00B50690">
              <w:rPr>
                <w:rFonts w:ascii="標楷體" w:eastAsia="標楷體" w:hAnsi="標楷體"/>
              </w:rPr>
              <w:t>碼□E</w:t>
            </w:r>
            <w:r w:rsidRPr="00B50690">
              <w:rPr>
                <w:rFonts w:ascii="標楷體" w:eastAsia="標楷體" w:hAnsi="標楷體"/>
                <w:spacing w:val="-7"/>
              </w:rPr>
              <w:t xml:space="preserve"> </w:t>
            </w:r>
            <w:r w:rsidRPr="00B50690">
              <w:rPr>
                <w:rFonts w:ascii="標楷體" w:eastAsia="標楷體" w:hAnsi="標楷體"/>
              </w:rPr>
              <w:t>碼□F</w:t>
            </w:r>
            <w:r w:rsidRPr="00B50690">
              <w:rPr>
                <w:rFonts w:ascii="標楷體" w:eastAsia="標楷體" w:hAnsi="標楷體"/>
                <w:spacing w:val="-6"/>
              </w:rPr>
              <w:t xml:space="preserve"> </w:t>
            </w:r>
            <w:r w:rsidRPr="00B50690">
              <w:rPr>
                <w:rFonts w:ascii="標楷體" w:eastAsia="標楷體" w:hAnsi="標楷體"/>
              </w:rPr>
              <w:t>碼□G</w:t>
            </w:r>
            <w:r w:rsidRPr="00B50690">
              <w:rPr>
                <w:rFonts w:ascii="標楷體" w:eastAsia="標楷體" w:hAnsi="標楷體"/>
                <w:spacing w:val="-6"/>
              </w:rPr>
              <w:t xml:space="preserve"> </w:t>
            </w:r>
            <w:r w:rsidRPr="00B50690">
              <w:rPr>
                <w:rFonts w:ascii="標楷體" w:eastAsia="標楷體" w:hAnsi="標楷體"/>
                <w:spacing w:val="-10"/>
              </w:rPr>
              <w:t>碼</w:t>
            </w:r>
          </w:p>
        </w:tc>
      </w:tr>
      <w:tr w:rsidR="002D6CFD" w:rsidRPr="00B50690" w14:paraId="2D86E840" w14:textId="3F5861CB" w:rsidTr="002D6CFD">
        <w:tc>
          <w:tcPr>
            <w:tcW w:w="2428" w:type="dxa"/>
          </w:tcPr>
          <w:p w14:paraId="3C2CD730" w14:textId="2B730D16" w:rsidR="002D6CFD" w:rsidRPr="00B50690" w:rsidRDefault="002D6CFD" w:rsidP="006E3660">
            <w:pPr>
              <w:pStyle w:val="ae"/>
              <w:tabs>
                <w:tab w:val="left" w:pos="5295"/>
              </w:tabs>
              <w:spacing w:line="400" w:lineRule="exact"/>
              <w:rPr>
                <w:rFonts w:ascii="標楷體" w:eastAsia="標楷體" w:hAnsi="標楷體"/>
                <w:spacing w:val="-5"/>
              </w:rPr>
            </w:pPr>
            <w:r w:rsidRPr="002D6CFD">
              <w:rPr>
                <w:rFonts w:ascii="標楷體" w:eastAsia="標楷體" w:hAnsi="標楷體"/>
                <w:spacing w:val="-5"/>
              </w:rPr>
              <w:t>新增組合與照顧類別之關係</w:t>
            </w:r>
          </w:p>
        </w:tc>
        <w:tc>
          <w:tcPr>
            <w:tcW w:w="6214" w:type="dxa"/>
          </w:tcPr>
          <w:p w14:paraId="1F482382" w14:textId="3B88763F" w:rsidR="002D6CFD" w:rsidRPr="00160ED3" w:rsidRDefault="002D6CFD" w:rsidP="002D6CFD">
            <w:pPr>
              <w:pStyle w:val="ae"/>
              <w:tabs>
                <w:tab w:val="left" w:pos="5295"/>
              </w:tabs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160ED3">
              <w:rPr>
                <w:rFonts w:ascii="標楷體" w:eastAsia="標楷體" w:hAnsi="標楷體" w:hint="eastAsia"/>
              </w:rPr>
              <w:t>衰弱</w:t>
            </w:r>
            <w:r w:rsidRPr="008263F3">
              <w:rPr>
                <w:rFonts w:ascii="標楷體" w:eastAsia="標楷體" w:hAnsi="標楷體" w:hint="eastAsia"/>
              </w:rPr>
              <w:t>症評估</w:t>
            </w:r>
            <w:r w:rsidR="00311EE3" w:rsidRPr="008263F3">
              <w:rPr>
                <w:rFonts w:ascii="標楷體" w:eastAsia="標楷體" w:hAnsi="標楷體" w:hint="eastAsia"/>
              </w:rPr>
              <w:t>及社區疾病失能評估轉介</w:t>
            </w:r>
            <w:r w:rsidRPr="008263F3">
              <w:rPr>
                <w:rFonts w:ascii="標楷體" w:eastAsia="標楷體" w:hAnsi="標楷體" w:hint="eastAsia"/>
              </w:rPr>
              <w:t>，</w:t>
            </w:r>
            <w:r w:rsidRPr="00160ED3">
              <w:rPr>
                <w:rFonts w:ascii="標楷體" w:eastAsia="標楷體" w:hAnsi="標楷體" w:hint="eastAsia"/>
              </w:rPr>
              <w:t>與「照顧管理評估量表」性質相近，建議列為不扣「個人額度」之</w:t>
            </w:r>
            <w:r w:rsidRPr="00160ED3">
              <w:rPr>
                <w:rFonts w:ascii="Times New Roman" w:eastAsia="標楷體" w:hAnsi="Times New Roman" w:cs="Times New Roman" w:hint="eastAsia"/>
              </w:rPr>
              <w:t>A</w:t>
            </w:r>
            <w:r w:rsidRPr="00160ED3">
              <w:rPr>
                <w:rFonts w:ascii="標楷體" w:eastAsia="標楷體" w:hAnsi="標楷體" w:hint="eastAsia"/>
              </w:rPr>
              <w:t>碼。</w:t>
            </w:r>
          </w:p>
        </w:tc>
      </w:tr>
      <w:tr w:rsidR="002D6CFD" w:rsidRPr="00B50690" w14:paraId="58B32FDF" w14:textId="4003B2B5" w:rsidTr="002D6CFD">
        <w:tc>
          <w:tcPr>
            <w:tcW w:w="2428" w:type="dxa"/>
          </w:tcPr>
          <w:p w14:paraId="459B9FC1" w14:textId="77C9D90F" w:rsidR="002D6CFD" w:rsidRPr="00B50690" w:rsidRDefault="002D6CFD" w:rsidP="006E3660">
            <w:pPr>
              <w:pStyle w:val="ae"/>
              <w:tabs>
                <w:tab w:val="left" w:pos="5295"/>
              </w:tabs>
              <w:spacing w:line="400" w:lineRule="exact"/>
              <w:rPr>
                <w:rFonts w:ascii="標楷體" w:eastAsia="標楷體" w:hAnsi="標楷體"/>
                <w:spacing w:val="-5"/>
              </w:rPr>
            </w:pPr>
            <w:r w:rsidRPr="00B50690">
              <w:rPr>
                <w:rFonts w:ascii="標楷體" w:eastAsia="標楷體" w:hAnsi="標楷體"/>
                <w:spacing w:val="-5"/>
              </w:rPr>
              <w:t>新增照顧組合內容與說明</w:t>
            </w:r>
          </w:p>
        </w:tc>
        <w:tc>
          <w:tcPr>
            <w:tcW w:w="6214" w:type="dxa"/>
          </w:tcPr>
          <w:p w14:paraId="15990D03" w14:textId="77777777" w:rsidR="002D6CFD" w:rsidRPr="008263F3" w:rsidRDefault="002D6CFD" w:rsidP="002D6CFD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評估</w:t>
            </w:r>
          </w:p>
          <w:p w14:paraId="2B94E99C" w14:textId="77777777" w:rsidR="002D6CFD" w:rsidRPr="008263F3" w:rsidRDefault="002D6CFD" w:rsidP="002D6CF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spacing w:line="400" w:lineRule="exact"/>
              <w:ind w:left="766" w:hanging="426"/>
              <w:contextualSpacing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採用台版衰弱症評估國際量表</w:t>
            </w: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(SOF)</w:t>
            </w: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進行評估及判定前衰弱和衰弱者。</w:t>
            </w:r>
          </w:p>
          <w:p w14:paraId="0AD2BE06" w14:textId="77777777" w:rsidR="002D6CFD" w:rsidRPr="008263F3" w:rsidRDefault="002D6CFD" w:rsidP="002D6CFD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擬定後續計畫</w:t>
            </w:r>
          </w:p>
          <w:p w14:paraId="51D09012" w14:textId="77777777" w:rsidR="002D6CFD" w:rsidRPr="008263F3" w:rsidRDefault="002D6CFD" w:rsidP="002D6CFD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spacing w:line="400" w:lineRule="exact"/>
              <w:ind w:left="757" w:hanging="397"/>
              <w:contextualSpacing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針對評估符合衰弱者，利用全民健保資源，轉介社區醫療群，或醫院老人醫學科或相關科別，進行後續評估與處置。</w:t>
            </w:r>
          </w:p>
          <w:p w14:paraId="4933DC9A" w14:textId="77777777" w:rsidR="002D6CFD" w:rsidRPr="008263F3" w:rsidRDefault="002D6CFD" w:rsidP="002D6CFD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spacing w:line="400" w:lineRule="exact"/>
              <w:ind w:left="757" w:hanging="397"/>
              <w:contextualSpacing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同時針對評估符合衰弱者，轉介各縣市照管中心進行長照評估，若符合長照</w:t>
            </w: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2.0</w:t>
            </w: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計畫服務對象者，安排後續長期照護計畫。</w:t>
            </w:r>
          </w:p>
          <w:p w14:paraId="65A2E685" w14:textId="77777777" w:rsidR="002D6CFD" w:rsidRPr="008263F3" w:rsidRDefault="002D6CFD" w:rsidP="002D6CFD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spacing w:line="400" w:lineRule="exact"/>
              <w:ind w:left="757" w:hanging="425"/>
              <w:contextualSpacing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前衰弱者</w:t>
            </w: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不申請給付</w:t>
            </w: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，提供運動與營養衛教資料，半年後重新評估</w:t>
            </w: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若達衰弱標準，逕行後續處遇及申報</w:t>
            </w: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7BE82D88" w14:textId="77777777" w:rsidR="002D6CFD" w:rsidRPr="008263F3" w:rsidRDefault="002D6CFD" w:rsidP="002D6CFD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後續處置：</w:t>
            </w:r>
          </w:p>
          <w:p w14:paraId="18F9C375" w14:textId="7167A58D" w:rsidR="002D6CFD" w:rsidRPr="008263F3" w:rsidRDefault="00311EE3" w:rsidP="002D6CFD">
            <w:pPr>
              <w:pStyle w:val="a9"/>
              <w:widowControl/>
              <w:autoSpaceDE/>
              <w:autoSpaceDN/>
              <w:spacing w:line="400" w:lineRule="exact"/>
              <w:ind w:left="360"/>
              <w:contextualSpacing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個案因疾病因素到</w:t>
            </w:r>
            <w:r w:rsidR="00771B18"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醫療</w:t>
            </w: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</w:t>
            </w:r>
            <w:r w:rsidR="00771B18"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</w:t>
            </w: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診療</w:t>
            </w:r>
            <w:r w:rsidR="00771B18"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2D6CFD"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</w:t>
            </w: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醫師專業</w:t>
            </w:r>
            <w:r w:rsidR="002D6CFD"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評估，</w:t>
            </w: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確認失能者</w:t>
            </w:r>
            <w:r w:rsidR="002D6CFD"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若有</w:t>
            </w: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需要</w:t>
            </w:r>
            <w:r w:rsidR="002D6CFD"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接受長照</w:t>
            </w:r>
            <w:r w:rsidR="002D6CFD" w:rsidRPr="008263F3">
              <w:rPr>
                <w:rFonts w:ascii="Times New Roman" w:eastAsia="標楷體" w:hAnsi="Times New Roman" w:cs="Times New Roman"/>
                <w:sz w:val="28"/>
                <w:szCs w:val="28"/>
              </w:rPr>
              <w:t>2.0</w:t>
            </w:r>
            <w:r w:rsidR="002D6CFD" w:rsidRPr="008263F3">
              <w:rPr>
                <w:rFonts w:ascii="Times New Roman" w:eastAsia="標楷體" w:hAnsi="Times New Roman" w:cs="Times New Roman"/>
                <w:sz w:val="28"/>
                <w:szCs w:val="28"/>
              </w:rPr>
              <w:t>服務者，</w:t>
            </w: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</w:t>
            </w:r>
            <w:r w:rsidR="002D6CFD" w:rsidRPr="008263F3">
              <w:rPr>
                <w:rFonts w:ascii="Times New Roman" w:eastAsia="標楷體" w:hAnsi="Times New Roman" w:cs="Times New Roman"/>
                <w:sz w:val="28"/>
                <w:szCs w:val="28"/>
              </w:rPr>
              <w:t>轉介各縣市照管中心</w:t>
            </w: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進一步作收案評量，</w:t>
            </w:r>
            <w:r w:rsidR="002D6CFD" w:rsidRPr="008263F3">
              <w:rPr>
                <w:rFonts w:ascii="Times New Roman" w:eastAsia="標楷體" w:hAnsi="Times New Roman" w:cs="Times New Roman"/>
                <w:sz w:val="28"/>
                <w:szCs w:val="28"/>
              </w:rPr>
              <w:t>提供</w:t>
            </w:r>
            <w:r w:rsidR="009009AC"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轉銜</w:t>
            </w:r>
            <w:r w:rsidR="002D6CFD" w:rsidRPr="008263F3">
              <w:rPr>
                <w:rFonts w:ascii="Times New Roman" w:eastAsia="標楷體" w:hAnsi="Times New Roman" w:cs="Times New Roman"/>
                <w:sz w:val="28"/>
                <w:szCs w:val="28"/>
              </w:rPr>
              <w:t>服務。</w:t>
            </w:r>
          </w:p>
          <w:p w14:paraId="35726FB5" w14:textId="351C47C3" w:rsidR="002D6CFD" w:rsidRPr="008263F3" w:rsidRDefault="002D6CFD" w:rsidP="002D6CFD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給付頻率：</w:t>
            </w:r>
          </w:p>
          <w:p w14:paraId="0234421B" w14:textId="6EB0EDF9" w:rsidR="002D6CFD" w:rsidRPr="008263F3" w:rsidRDefault="009009AC" w:rsidP="002D6CFD">
            <w:pPr>
              <w:widowControl/>
              <w:spacing w:line="400" w:lineRule="exact"/>
              <w:ind w:firstLineChars="153" w:firstLine="42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醫療院所就醫個案接受</w:t>
            </w:r>
            <w:r w:rsidR="002D6CFD"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長期照護衰弱症評估原則以</w:t>
            </w:r>
            <w:r w:rsidR="002D6CFD"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65</w:t>
            </w:r>
            <w:r w:rsidR="002D6CFD"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</w:t>
            </w:r>
            <w:r w:rsidR="002D6CFD"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D6CFD"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</w:t>
            </w:r>
            <w:r w:rsidR="002D6CFD"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2D6CFD"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以上，每兩年一次為原則，但因病</w:t>
            </w:r>
            <w:r w:rsidR="002D6CFD"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人狀況需再評估者（如首次評估認定為前衰弱或衰弱者），每半年可追蹤評估一次。</w:t>
            </w:r>
          </w:p>
          <w:p w14:paraId="3F2BE95C" w14:textId="77777777" w:rsidR="006E74B5" w:rsidRDefault="002D6CFD" w:rsidP="006E74B5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E74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執行長期照護衰弱症評估條件</w:t>
            </w:r>
            <w:r w:rsidR="009A101E" w:rsidRPr="006E74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及執行人員資格</w:t>
            </w:r>
            <w:r w:rsidRPr="006E74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bookmarkStart w:id="0" w:name="_Hlk66087035"/>
          </w:p>
          <w:p w14:paraId="7C56FF86" w14:textId="3CCA7D0B" w:rsidR="002D6CFD" w:rsidRPr="006E74B5" w:rsidRDefault="002D6CFD" w:rsidP="006E74B5">
            <w:pPr>
              <w:widowControl/>
              <w:autoSpaceDE/>
              <w:autoSpaceDN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E74B5">
              <w:rPr>
                <w:rFonts w:ascii="標楷體" w:eastAsia="標楷體" w:hAnsi="標楷體" w:cs="Times New Roman" w:hint="eastAsia"/>
                <w:sz w:val="28"/>
                <w:szCs w:val="28"/>
              </w:rPr>
              <w:t>本照護組合應於健保特約醫療院所執業，</w:t>
            </w:r>
            <w:bookmarkEnd w:id="0"/>
            <w:r w:rsidR="007C006D" w:rsidRPr="006E74B5">
              <w:rPr>
                <w:rFonts w:ascii="標楷體" w:eastAsia="標楷體" w:hAnsi="標楷體" w:cs="Times New Roman" w:hint="eastAsia"/>
                <w:sz w:val="28"/>
                <w:szCs w:val="28"/>
              </w:rPr>
              <w:t>且符合下列執行人員資格</w:t>
            </w:r>
            <w:r w:rsidR="0059540C" w:rsidRPr="006E74B5">
              <w:rPr>
                <w:rFonts w:ascii="標楷體" w:eastAsia="標楷體" w:hAnsi="標楷體" w:cs="Times New Roman" w:hint="eastAsia"/>
                <w:sz w:val="28"/>
                <w:szCs w:val="28"/>
              </w:rPr>
              <w:t>任一條件之</w:t>
            </w:r>
            <w:r w:rsidR="002E4DB7" w:rsidRPr="006E74B5">
              <w:rPr>
                <w:rFonts w:ascii="標楷體" w:eastAsia="標楷體" w:hAnsi="標楷體" w:cs="Times New Roman" w:hint="eastAsia"/>
                <w:sz w:val="28"/>
                <w:szCs w:val="28"/>
              </w:rPr>
              <w:t>醫師。</w:t>
            </w:r>
          </w:p>
          <w:p w14:paraId="666220BD" w14:textId="2BFB7483" w:rsidR="00207315" w:rsidRPr="008263F3" w:rsidRDefault="00F43B02" w:rsidP="003000B6">
            <w:pPr>
              <w:pStyle w:val="a9"/>
              <w:widowControl/>
              <w:numPr>
                <w:ilvl w:val="0"/>
                <w:numId w:val="11"/>
              </w:numPr>
              <w:autoSpaceDE/>
              <w:autoSpaceDN/>
              <w:spacing w:line="400" w:lineRule="exact"/>
              <w:contextualSpacing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3F3">
              <w:rPr>
                <w:rFonts w:ascii="標楷體" w:eastAsia="標楷體" w:hAnsi="標楷體" w:cs="Times New Roman" w:hint="eastAsia"/>
                <w:sz w:val="28"/>
                <w:szCs w:val="28"/>
              </w:rPr>
              <w:t>老</w:t>
            </w:r>
            <w:r w:rsidR="0059540C" w:rsidRPr="008263F3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8263F3">
              <w:rPr>
                <w:rFonts w:ascii="標楷體" w:eastAsia="標楷體" w:hAnsi="標楷體" w:cs="Times New Roman" w:hint="eastAsia"/>
                <w:sz w:val="28"/>
                <w:szCs w:val="28"/>
              </w:rPr>
              <w:t>醫學科、復健科、骨科、</w:t>
            </w:r>
            <w:r w:rsidR="0059540C" w:rsidRPr="008263F3">
              <w:rPr>
                <w:rFonts w:ascii="標楷體" w:eastAsia="標楷體" w:hAnsi="標楷體" w:cs="Times New Roman" w:hint="eastAsia"/>
                <w:sz w:val="28"/>
                <w:szCs w:val="28"/>
              </w:rPr>
              <w:t>神經科</w:t>
            </w:r>
            <w:r w:rsidR="00FD117E">
              <w:rPr>
                <w:rFonts w:ascii="標楷體" w:eastAsia="標楷體" w:hAnsi="標楷體" w:cs="Times New Roman" w:hint="eastAsia"/>
                <w:sz w:val="28"/>
                <w:szCs w:val="28"/>
              </w:rPr>
              <w:t>、神經</w:t>
            </w:r>
            <w:r w:rsidR="0059540C" w:rsidRPr="008263F3">
              <w:rPr>
                <w:rFonts w:ascii="標楷體" w:eastAsia="標楷體" w:hAnsi="標楷體" w:cs="Times New Roman" w:hint="eastAsia"/>
                <w:sz w:val="28"/>
                <w:szCs w:val="28"/>
              </w:rPr>
              <w:t>外科</w:t>
            </w:r>
            <w:r w:rsidRPr="008263F3">
              <w:rPr>
                <w:rFonts w:ascii="標楷體" w:eastAsia="標楷體" w:hAnsi="標楷體" w:cs="Times New Roman" w:hint="eastAsia"/>
                <w:sz w:val="28"/>
                <w:szCs w:val="28"/>
              </w:rPr>
              <w:t>、家</w:t>
            </w:r>
            <w:r w:rsidR="0059540C" w:rsidRPr="008263F3">
              <w:rPr>
                <w:rFonts w:ascii="標楷體" w:eastAsia="標楷體" w:hAnsi="標楷體" w:cs="Times New Roman" w:hint="eastAsia"/>
                <w:sz w:val="28"/>
                <w:szCs w:val="28"/>
              </w:rPr>
              <w:t>庭</w:t>
            </w:r>
            <w:r w:rsidRPr="008263F3">
              <w:rPr>
                <w:rFonts w:ascii="標楷體" w:eastAsia="標楷體" w:hAnsi="標楷體" w:cs="Times New Roman" w:hint="eastAsia"/>
                <w:sz w:val="28"/>
                <w:szCs w:val="28"/>
              </w:rPr>
              <w:t>醫</w:t>
            </w:r>
            <w:r w:rsidR="0059540C" w:rsidRPr="008263F3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  <w:r w:rsidRPr="008263F3">
              <w:rPr>
                <w:rFonts w:ascii="標楷體" w:eastAsia="標楷體" w:hAnsi="標楷體" w:cs="Times New Roman" w:hint="eastAsia"/>
                <w:sz w:val="28"/>
                <w:szCs w:val="28"/>
              </w:rPr>
              <w:t>科</w:t>
            </w:r>
            <w:r w:rsidR="00207315" w:rsidRPr="008263F3">
              <w:rPr>
                <w:rFonts w:ascii="標楷體" w:eastAsia="標楷體" w:hAnsi="標楷體" w:cs="Times New Roman" w:hint="eastAsia"/>
                <w:sz w:val="28"/>
                <w:szCs w:val="28"/>
              </w:rPr>
              <w:t>、內科</w:t>
            </w:r>
            <w:r w:rsidR="00FD117E">
              <w:rPr>
                <w:rFonts w:ascii="標楷體" w:eastAsia="標楷體" w:hAnsi="標楷體" w:cs="Times New Roman" w:hint="eastAsia"/>
                <w:sz w:val="28"/>
                <w:szCs w:val="28"/>
              </w:rPr>
              <w:t>等</w:t>
            </w:r>
            <w:r w:rsidR="007C006D"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  <w:r w:rsidR="002E4DB7"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專科醫師</w:t>
            </w:r>
            <w:r w:rsidR="007C006D"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，並需</w:t>
            </w:r>
            <w:r w:rsidR="002E4DB7"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完成</w:t>
            </w:r>
            <w:r w:rsidR="002E4DB7" w:rsidRPr="008263F3">
              <w:rPr>
                <w:rFonts w:ascii="標楷體" w:eastAsia="標楷體" w:hAnsi="標楷體" w:cs="Times New Roman" w:hint="eastAsia"/>
                <w:sz w:val="28"/>
                <w:szCs w:val="28"/>
              </w:rPr>
              <w:t>長期照顧Level-I</w:t>
            </w:r>
            <w:r w:rsidR="0059540C" w:rsidRPr="008263F3">
              <w:rPr>
                <w:rFonts w:ascii="標楷體" w:eastAsia="標楷體" w:hAnsi="標楷體" w:cs="Times New Roman" w:hint="eastAsia"/>
                <w:sz w:val="28"/>
                <w:szCs w:val="28"/>
              </w:rPr>
              <w:t>共同課程</w:t>
            </w:r>
            <w:r w:rsidR="002E4DB7" w:rsidRPr="008263F3">
              <w:rPr>
                <w:rFonts w:ascii="標楷體" w:eastAsia="標楷體" w:hAnsi="標楷體" w:cs="Times New Roman" w:hint="eastAsia"/>
                <w:sz w:val="28"/>
                <w:szCs w:val="28"/>
              </w:rPr>
              <w:t>與Level</w:t>
            </w:r>
            <w:r w:rsidR="00160ED3" w:rsidRPr="008263F3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="002E4DB7" w:rsidRPr="008263F3">
              <w:rPr>
                <w:rFonts w:ascii="標楷體" w:eastAsia="標楷體" w:hAnsi="標楷體" w:cs="Times New Roman" w:hint="eastAsia"/>
                <w:sz w:val="28"/>
                <w:szCs w:val="28"/>
              </w:rPr>
              <w:t>II</w:t>
            </w:r>
            <w:r w:rsidR="0059540C" w:rsidRPr="008263F3">
              <w:rPr>
                <w:rFonts w:ascii="標楷體" w:eastAsia="標楷體" w:hAnsi="標楷體" w:cs="Times New Roman" w:hint="eastAsia"/>
                <w:sz w:val="28"/>
                <w:szCs w:val="28"/>
              </w:rPr>
              <w:t>西醫師專業課程</w:t>
            </w:r>
            <w:r w:rsidR="007C006D" w:rsidRPr="008263F3">
              <w:rPr>
                <w:rFonts w:ascii="標楷體" w:eastAsia="標楷體" w:hAnsi="標楷體" w:cs="Times New Roman" w:hint="eastAsia"/>
                <w:sz w:val="28"/>
                <w:szCs w:val="28"/>
              </w:rPr>
              <w:t>，取得相關證明</w:t>
            </w:r>
            <w:r w:rsidR="002E4DB7" w:rsidRPr="008263F3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7E4C85BA" w14:textId="76DF85D7" w:rsidR="002D6CFD" w:rsidRPr="008263F3" w:rsidRDefault="00207315" w:rsidP="003000B6">
            <w:pPr>
              <w:pStyle w:val="a9"/>
              <w:widowControl/>
              <w:numPr>
                <w:ilvl w:val="0"/>
                <w:numId w:val="11"/>
              </w:numPr>
              <w:autoSpaceDE/>
              <w:autoSpaceDN/>
              <w:spacing w:line="400" w:lineRule="exact"/>
              <w:contextualSpacing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3F3">
              <w:rPr>
                <w:rFonts w:ascii="標楷體" w:eastAsia="標楷體" w:hAnsi="標楷體" w:cs="Times New Roman" w:hint="eastAsia"/>
                <w:sz w:val="28"/>
                <w:szCs w:val="28"/>
              </w:rPr>
              <w:t>取得長期照顧服務人員證明，且在效期內之醫師。</w:t>
            </w:r>
          </w:p>
        </w:tc>
      </w:tr>
      <w:tr w:rsidR="002D6CFD" w:rsidRPr="00B50690" w14:paraId="05DBAF78" w14:textId="354894DD" w:rsidTr="002D6CFD">
        <w:tc>
          <w:tcPr>
            <w:tcW w:w="2428" w:type="dxa"/>
          </w:tcPr>
          <w:p w14:paraId="50C2FF02" w14:textId="73B58976" w:rsidR="002D6CFD" w:rsidRPr="00B50690" w:rsidRDefault="002D6CFD" w:rsidP="006E3660">
            <w:pPr>
              <w:pStyle w:val="ae"/>
              <w:tabs>
                <w:tab w:val="left" w:pos="5295"/>
              </w:tabs>
              <w:spacing w:line="400" w:lineRule="exact"/>
              <w:rPr>
                <w:rFonts w:ascii="標楷體" w:eastAsia="標楷體" w:hAnsi="標楷體"/>
                <w:spacing w:val="-5"/>
              </w:rPr>
            </w:pPr>
            <w:r w:rsidRPr="00B50690">
              <w:rPr>
                <w:rFonts w:ascii="標楷體" w:eastAsia="標楷體" w:hAnsi="標楷體"/>
                <w:spacing w:val="-4"/>
              </w:rPr>
              <w:lastRenderedPageBreak/>
              <w:t>建議給(支)付價格(新臺幣/元</w:t>
            </w:r>
            <w:r w:rsidRPr="00B50690">
              <w:rPr>
                <w:rFonts w:ascii="標楷體" w:eastAsia="標楷體" w:hAnsi="標楷體"/>
                <w:spacing w:val="-10"/>
              </w:rPr>
              <w:t>)</w:t>
            </w:r>
          </w:p>
        </w:tc>
        <w:tc>
          <w:tcPr>
            <w:tcW w:w="6214" w:type="dxa"/>
          </w:tcPr>
          <w:p w14:paraId="63BDDD32" w14:textId="696BC7A3" w:rsidR="002D6CFD" w:rsidRPr="008263F3" w:rsidRDefault="002D6CFD" w:rsidP="002D6CFD">
            <w:pPr>
              <w:pStyle w:val="ae"/>
              <w:tabs>
                <w:tab w:val="left" w:pos="5295"/>
              </w:tabs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8263F3">
              <w:rPr>
                <w:rFonts w:ascii="標楷體" w:eastAsia="標楷體" w:hAnsi="標楷體" w:cs="Times New Roman"/>
              </w:rPr>
              <w:t>500</w:t>
            </w:r>
            <w:r w:rsidRPr="008263F3">
              <w:rPr>
                <w:rFonts w:ascii="標楷體" w:eastAsia="標楷體" w:hAnsi="標楷體" w:cs="Times New Roman" w:hint="eastAsia"/>
              </w:rPr>
              <w:t>元</w:t>
            </w:r>
          </w:p>
        </w:tc>
      </w:tr>
      <w:tr w:rsidR="002D6CFD" w:rsidRPr="00B50690" w14:paraId="5A89DEA2" w14:textId="222BA7F3" w:rsidTr="002D6CFD">
        <w:tc>
          <w:tcPr>
            <w:tcW w:w="2428" w:type="dxa"/>
          </w:tcPr>
          <w:p w14:paraId="09B7FB93" w14:textId="267B2719" w:rsidR="002D6CFD" w:rsidRPr="004C7DEF" w:rsidRDefault="00D53169" w:rsidP="006E3660">
            <w:pPr>
              <w:pStyle w:val="ae"/>
              <w:tabs>
                <w:tab w:val="left" w:pos="5295"/>
              </w:tabs>
              <w:spacing w:line="400" w:lineRule="exact"/>
              <w:rPr>
                <w:rFonts w:ascii="標楷體" w:eastAsia="標楷體" w:hAnsi="標楷體"/>
                <w:b/>
                <w:bCs/>
                <w:spacing w:val="-5"/>
                <w:u w:val="single"/>
              </w:rPr>
            </w:pPr>
            <w:r w:rsidRPr="00D53169">
              <w:rPr>
                <w:rFonts w:ascii="標楷體" w:eastAsia="標楷體" w:hAnsi="標楷體" w:hint="eastAsia"/>
                <w:spacing w:val="-5"/>
              </w:rPr>
              <w:t>新增理由</w:t>
            </w:r>
          </w:p>
        </w:tc>
        <w:tc>
          <w:tcPr>
            <w:tcW w:w="6214" w:type="dxa"/>
          </w:tcPr>
          <w:p w14:paraId="3FE16633" w14:textId="61711428" w:rsidR="002D6CFD" w:rsidRPr="00160ED3" w:rsidRDefault="002D6CFD" w:rsidP="002D6CFD">
            <w:pPr>
              <w:widowControl/>
              <w:spacing w:line="400" w:lineRule="exact"/>
              <w:ind w:firstLineChars="153" w:firstLine="4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台灣平均餘命80歲，不健康餘命高達8年，國家固然有</w:t>
            </w:r>
            <w:r w:rsidR="00FD117E">
              <w:rPr>
                <w:rFonts w:ascii="標楷體" w:eastAsia="標楷體" w:hAnsi="標楷體" w:cs="Times New Roman" w:hint="eastAsia"/>
                <w:sz w:val="28"/>
                <w:szCs w:val="28"/>
              </w:rPr>
              <w:t>衛生福利部</w:t>
            </w:r>
            <w:r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國民健康</w:t>
            </w:r>
            <w:r w:rsidR="00FD117E">
              <w:rPr>
                <w:rFonts w:ascii="標楷體" w:eastAsia="標楷體" w:hAnsi="標楷體" w:cs="Times New Roman" w:hint="eastAsia"/>
                <w:sz w:val="28"/>
                <w:szCs w:val="28"/>
              </w:rPr>
              <w:t>署</w:t>
            </w:r>
            <w:r w:rsidRPr="00160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ICOPE</w:t>
            </w:r>
            <w:r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計畫，長照有照專訪視，但是面對眾多潛在失能的衰弱者尚無法使用長照服務，這些需求者基本都散居在社區，並常去醫療院所就醫</w:t>
            </w:r>
            <w:r w:rsidR="008211DD"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當他們到醫療機構就醫，這些潛在失能個案應有評估及轉介機制</w:t>
            </w:r>
            <w:r w:rsidR="008211DD"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由醫療端給予介入或轉介到長照單位，接受進一步長照服務。</w:t>
            </w:r>
          </w:p>
          <w:p w14:paraId="38A797B6" w14:textId="3C608A49" w:rsidR="002D6CFD" w:rsidRPr="00160ED3" w:rsidRDefault="002D6CFD" w:rsidP="002D6CFD">
            <w:pPr>
              <w:widowControl/>
              <w:spacing w:line="400" w:lineRule="exact"/>
              <w:ind w:firstLineChars="2" w:firstLine="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解決方法：</w:t>
            </w:r>
          </w:p>
          <w:p w14:paraId="3DF479C1" w14:textId="78E29314" w:rsidR="002D6CFD" w:rsidRPr="0058688C" w:rsidRDefault="002D6CFD" w:rsidP="002E4DB7">
            <w:pPr>
              <w:pStyle w:val="a9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0ED3">
              <w:rPr>
                <w:rFonts w:ascii="標楷體" w:eastAsia="標楷體" w:hAnsi="標楷體" w:hint="eastAsia"/>
                <w:sz w:val="28"/>
                <w:szCs w:val="28"/>
              </w:rPr>
              <w:t>針對醫療機構就醫個案，由醫師診察後有明顯因疾病造成失能，需要長照服務者，</w:t>
            </w:r>
            <w:r w:rsidR="002E4DB7" w:rsidRPr="00160ED3">
              <w:rPr>
                <w:rFonts w:ascii="標楷體" w:eastAsia="標楷體" w:hAnsi="標楷體" w:hint="eastAsia"/>
                <w:sz w:val="28"/>
                <w:szCs w:val="28"/>
              </w:rPr>
              <w:t>得由</w:t>
            </w:r>
            <w:r w:rsidR="007C006D" w:rsidRPr="00160ED3">
              <w:rPr>
                <w:rFonts w:ascii="標楷體" w:eastAsia="標楷體" w:hAnsi="標楷體" w:hint="eastAsia"/>
                <w:sz w:val="28"/>
                <w:szCs w:val="28"/>
              </w:rPr>
              <w:t>診察</w:t>
            </w:r>
            <w:r w:rsidR="002E4DB7" w:rsidRPr="0058688C"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  <w:r w:rsidR="00F43B02" w:rsidRPr="0058688C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="002E4DB7" w:rsidRPr="0058688C">
              <w:rPr>
                <w:rFonts w:ascii="標楷體" w:eastAsia="標楷體" w:hAnsi="標楷體" w:hint="eastAsia"/>
                <w:sz w:val="28"/>
                <w:szCs w:val="28"/>
              </w:rPr>
              <w:t>轉介該縣市之長期照顧管理中心</w:t>
            </w:r>
            <w:r w:rsidR="00F43B02" w:rsidRPr="0058688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576B93B" w14:textId="29284138" w:rsidR="002D6CFD" w:rsidRPr="0058688C" w:rsidRDefault="002D6CFD" w:rsidP="00F43B02">
            <w:pPr>
              <w:pStyle w:val="a9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688C">
              <w:rPr>
                <w:rFonts w:ascii="標楷體" w:eastAsia="標楷體" w:hAnsi="標楷體" w:hint="eastAsia"/>
                <w:sz w:val="28"/>
                <w:szCs w:val="28"/>
              </w:rPr>
              <w:t>失能長照服務轉介費由長照</w:t>
            </w:r>
            <w:r w:rsidR="007C006D" w:rsidRPr="0058688C">
              <w:rPr>
                <w:rFonts w:ascii="標楷體" w:eastAsia="標楷體" w:hAnsi="標楷體" w:hint="eastAsia"/>
                <w:sz w:val="28"/>
                <w:szCs w:val="28"/>
              </w:rPr>
              <w:t>2.0計畫</w:t>
            </w:r>
            <w:r w:rsidRPr="0058688C">
              <w:rPr>
                <w:rFonts w:ascii="標楷體" w:eastAsia="標楷體" w:hAnsi="標楷體" w:hint="eastAsia"/>
                <w:sz w:val="28"/>
                <w:szCs w:val="28"/>
              </w:rPr>
              <w:t>給付</w:t>
            </w:r>
            <w:r w:rsidR="0059540C" w:rsidRPr="0058688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BF70549" w14:textId="77777777" w:rsidR="007C006D" w:rsidRPr="00160ED3" w:rsidRDefault="002D6CFD" w:rsidP="007C006D">
            <w:pPr>
              <w:pStyle w:val="a9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0ED3">
              <w:rPr>
                <w:rFonts w:ascii="標楷體" w:eastAsia="標楷體" w:hAnsi="標楷體" w:hint="eastAsia"/>
                <w:sz w:val="28"/>
                <w:szCs w:val="28"/>
              </w:rPr>
              <w:t>醫療端費用依照健保給付。</w:t>
            </w:r>
          </w:p>
          <w:p w14:paraId="723AF304" w14:textId="09C76A3A" w:rsidR="008211DD" w:rsidRPr="00160ED3" w:rsidRDefault="008211DD" w:rsidP="008211DD">
            <w:pPr>
              <w:pStyle w:val="a9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0ED3">
              <w:rPr>
                <w:rFonts w:ascii="標楷體" w:eastAsia="標楷體" w:hAnsi="標楷體" w:hint="eastAsia"/>
                <w:sz w:val="28"/>
                <w:szCs w:val="28"/>
              </w:rPr>
              <w:t>若照管專員評估後，認為個案有長照專業服務之需求，且轉介醫師為居家失能個案</w:t>
            </w:r>
            <w:r w:rsidRPr="00160ED3">
              <w:rPr>
                <w:rFonts w:ascii="標楷體" w:eastAsia="標楷體" w:hAnsi="標楷體"/>
                <w:sz w:val="28"/>
                <w:szCs w:val="28"/>
              </w:rPr>
              <w:t>家庭醫師照顧方案</w:t>
            </w:r>
            <w:r w:rsidRPr="00160ED3">
              <w:rPr>
                <w:rFonts w:ascii="標楷體" w:eastAsia="標楷體" w:hAnsi="標楷體" w:hint="eastAsia"/>
                <w:sz w:val="28"/>
                <w:szCs w:val="28"/>
              </w:rPr>
              <w:t>之特約醫師，建議優先派案給該醫師之服務單位，執行醫師意見書與個案管理。</w:t>
            </w:r>
          </w:p>
        </w:tc>
      </w:tr>
      <w:tr w:rsidR="002D6CFD" w:rsidRPr="00B50690" w14:paraId="5D696BC0" w14:textId="7072A82B" w:rsidTr="002D6CFD">
        <w:tc>
          <w:tcPr>
            <w:tcW w:w="2428" w:type="dxa"/>
          </w:tcPr>
          <w:p w14:paraId="5F9385C1" w14:textId="46F6E198" w:rsidR="002D6CFD" w:rsidRPr="00B50690" w:rsidRDefault="002D6CFD" w:rsidP="006E3660">
            <w:pPr>
              <w:pStyle w:val="ae"/>
              <w:tabs>
                <w:tab w:val="left" w:pos="5295"/>
              </w:tabs>
              <w:spacing w:line="400" w:lineRule="exact"/>
              <w:rPr>
                <w:rFonts w:ascii="標楷體" w:eastAsia="標楷體" w:hAnsi="標楷體"/>
                <w:spacing w:val="-5"/>
              </w:rPr>
            </w:pPr>
            <w:r w:rsidRPr="00B50690">
              <w:rPr>
                <w:rFonts w:ascii="標楷體" w:eastAsia="標楷體" w:hAnsi="標楷體"/>
                <w:spacing w:val="-5"/>
              </w:rPr>
              <w:t>預估受益對象及人數預估</w:t>
            </w:r>
          </w:p>
        </w:tc>
        <w:tc>
          <w:tcPr>
            <w:tcW w:w="6214" w:type="dxa"/>
          </w:tcPr>
          <w:p w14:paraId="4563A40B" w14:textId="77777777" w:rsidR="002D6CFD" w:rsidRPr="00160ED3" w:rsidRDefault="002D6CFD" w:rsidP="002D6CFD">
            <w:pPr>
              <w:pStyle w:val="ae"/>
              <w:numPr>
                <w:ilvl w:val="0"/>
                <w:numId w:val="10"/>
              </w:numPr>
              <w:tabs>
                <w:tab w:val="left" w:pos="5295"/>
              </w:tabs>
              <w:spacing w:line="400" w:lineRule="exact"/>
              <w:ind w:left="431" w:hanging="431"/>
              <w:jc w:val="both"/>
              <w:rPr>
                <w:rFonts w:ascii="標楷體" w:eastAsia="標楷體" w:hAnsi="標楷體" w:cs="Times New Roman"/>
              </w:rPr>
            </w:pPr>
            <w:r w:rsidRPr="00160ED3">
              <w:rPr>
                <w:rFonts w:ascii="標楷體" w:eastAsia="標楷體" w:hAnsi="標楷體" w:cs="Times New Roman" w:hint="eastAsia"/>
              </w:rPr>
              <w:t>受益對象：</w:t>
            </w:r>
          </w:p>
          <w:p w14:paraId="4BC92C2B" w14:textId="3CC301D8" w:rsidR="002D6CFD" w:rsidRPr="00160ED3" w:rsidRDefault="002D6CFD" w:rsidP="002D6CFD">
            <w:pPr>
              <w:pStyle w:val="ae"/>
              <w:tabs>
                <w:tab w:val="left" w:pos="5295"/>
              </w:tabs>
              <w:spacing w:line="400" w:lineRule="exact"/>
              <w:ind w:left="431"/>
              <w:jc w:val="both"/>
              <w:rPr>
                <w:rFonts w:ascii="標楷體" w:eastAsia="標楷體" w:hAnsi="標楷體" w:cs="Times New Roman"/>
              </w:rPr>
            </w:pPr>
            <w:r w:rsidRPr="00160ED3">
              <w:rPr>
                <w:rFonts w:ascii="標楷體" w:eastAsia="標楷體" w:hAnsi="標楷體" w:cs="Times New Roman" w:hint="eastAsia"/>
              </w:rPr>
              <w:t xml:space="preserve">慢性阻塞性肺病(Chronic Obstructive </w:t>
            </w:r>
            <w:r w:rsidRPr="00160ED3">
              <w:rPr>
                <w:rFonts w:ascii="標楷體" w:eastAsia="標楷體" w:hAnsi="標楷體" w:cs="Times New Roman" w:hint="eastAsia"/>
              </w:rPr>
              <w:lastRenderedPageBreak/>
              <w:t>Pulmonary Disease，簡稱COPD)、慢性腎臟病第三級以上（Chronic kidney disease，簡稱CKD）、鬱血性心臟衰竭（Congestive Heart Failure，簡稱CH</w:t>
            </w:r>
            <w:r w:rsidRPr="00160ED3">
              <w:rPr>
                <w:rFonts w:ascii="標楷體" w:eastAsia="標楷體" w:hAnsi="標楷體" w:cs="Times New Roman"/>
              </w:rPr>
              <w:t>F</w:t>
            </w:r>
            <w:r w:rsidRPr="00160ED3">
              <w:rPr>
                <w:rFonts w:ascii="標楷體" w:eastAsia="標楷體" w:hAnsi="標楷體" w:cs="Times New Roman" w:hint="eastAsia"/>
              </w:rPr>
              <w:t>）、中風史、巴金森氏症、脊膸損傷、創傷性腦損傷(</w:t>
            </w:r>
            <w:r w:rsidRPr="00160ED3">
              <w:rPr>
                <w:rFonts w:ascii="標楷體" w:eastAsia="標楷體" w:hAnsi="標楷體" w:cs="Times New Roman"/>
              </w:rPr>
              <w:t>traumatic brain injury</w:t>
            </w:r>
            <w:r w:rsidRPr="00160ED3">
              <w:rPr>
                <w:rFonts w:ascii="標楷體" w:eastAsia="標楷體" w:hAnsi="標楷體" w:cs="Times New Roman" w:hint="eastAsia"/>
              </w:rPr>
              <w:t>)、6個月內曾住院、骨折史、1年內跌倒2次(含)以上、癌症治療中、肌少症及7</w:t>
            </w:r>
            <w:r w:rsidRPr="00160ED3">
              <w:rPr>
                <w:rFonts w:ascii="標楷體" w:eastAsia="標楷體" w:hAnsi="標楷體" w:cs="Times New Roman"/>
              </w:rPr>
              <w:t>5</w:t>
            </w:r>
            <w:r w:rsidRPr="00160ED3">
              <w:rPr>
                <w:rFonts w:ascii="標楷體" w:eastAsia="標楷體" w:hAnsi="標楷體" w:cs="Times New Roman" w:hint="eastAsia"/>
              </w:rPr>
              <w:t>歲以上長者。</w:t>
            </w:r>
          </w:p>
          <w:p w14:paraId="57FE0121" w14:textId="77777777" w:rsidR="002D6CFD" w:rsidRPr="00160ED3" w:rsidRDefault="002D6CFD" w:rsidP="002D6CFD">
            <w:pPr>
              <w:pStyle w:val="ae"/>
              <w:numPr>
                <w:ilvl w:val="0"/>
                <w:numId w:val="10"/>
              </w:numPr>
              <w:tabs>
                <w:tab w:val="left" w:pos="5295"/>
              </w:tabs>
              <w:spacing w:line="400" w:lineRule="exact"/>
              <w:ind w:left="431" w:hanging="431"/>
              <w:jc w:val="both"/>
              <w:rPr>
                <w:rFonts w:ascii="標楷體" w:eastAsia="標楷體" w:hAnsi="標楷體" w:cs="Times New Roman"/>
              </w:rPr>
            </w:pPr>
            <w:r w:rsidRPr="00160ED3">
              <w:rPr>
                <w:rFonts w:ascii="標楷體" w:eastAsia="標楷體" w:hAnsi="標楷體" w:cs="Times New Roman" w:hint="eastAsia"/>
              </w:rPr>
              <w:t>人數預估：</w:t>
            </w:r>
          </w:p>
          <w:p w14:paraId="397F22DE" w14:textId="5E11D5B1" w:rsidR="002D6CFD" w:rsidRPr="00160ED3" w:rsidRDefault="00435458" w:rsidP="004C7579">
            <w:pPr>
              <w:pStyle w:val="ae"/>
              <w:tabs>
                <w:tab w:val="left" w:pos="5295"/>
              </w:tabs>
              <w:spacing w:line="400" w:lineRule="exact"/>
              <w:ind w:left="431"/>
              <w:jc w:val="both"/>
              <w:rPr>
                <w:rFonts w:ascii="標楷體" w:eastAsia="標楷體" w:hAnsi="標楷體" w:cs="Times New Roman"/>
              </w:rPr>
            </w:pPr>
            <w:r w:rsidRPr="00160ED3">
              <w:rPr>
                <w:rFonts w:ascii="標楷體" w:eastAsia="標楷體" w:hAnsi="標楷體" w:cs="Times New Roman" w:hint="eastAsia"/>
              </w:rPr>
              <w:t>上述疾病民眾衰弱症盛行率高，</w:t>
            </w:r>
            <w:r w:rsidR="004C7579" w:rsidRPr="00160ED3">
              <w:rPr>
                <w:rFonts w:ascii="標楷體" w:eastAsia="標楷體" w:hAnsi="標楷體" w:cs="Times New Roman" w:hint="eastAsia"/>
              </w:rPr>
              <w:t>113年1月老年人口占比18.4%，總數為</w:t>
            </w:r>
            <w:r w:rsidR="004C7579" w:rsidRPr="00160ED3">
              <w:rPr>
                <w:rFonts w:ascii="標楷體" w:eastAsia="標楷體" w:hAnsi="標楷體" w:cs="Times New Roman"/>
              </w:rPr>
              <w:t>4,316,873</w:t>
            </w:r>
            <w:r w:rsidR="004C7579" w:rsidRPr="00160ED3">
              <w:rPr>
                <w:rFonts w:ascii="標楷體" w:eastAsia="標楷體" w:hAnsi="標楷體" w:cs="Times New Roman" w:hint="eastAsia"/>
              </w:rPr>
              <w:t>人，</w:t>
            </w:r>
            <w:r w:rsidRPr="00160ED3">
              <w:rPr>
                <w:rFonts w:ascii="標楷體" w:eastAsia="標楷體" w:hAnsi="標楷體" w:cs="Times New Roman" w:hint="eastAsia"/>
              </w:rPr>
              <w:t>根據國家衛生研究院老人醫學組統計</w:t>
            </w:r>
            <w:r w:rsidR="004C7579" w:rsidRPr="00160ED3">
              <w:rPr>
                <w:rFonts w:ascii="標楷體" w:eastAsia="標楷體" w:hAnsi="標楷體" w:cs="Times New Roman" w:hint="eastAsia"/>
              </w:rPr>
              <w:t>，</w:t>
            </w:r>
            <w:r w:rsidRPr="00160ED3">
              <w:rPr>
                <w:rFonts w:ascii="標楷體" w:eastAsia="標楷體" w:hAnsi="標楷體" w:cs="Times New Roman" w:hint="eastAsia"/>
              </w:rPr>
              <w:t>臺灣醫療院所門診之</w:t>
            </w:r>
            <w:r w:rsidRPr="00160ED3">
              <w:rPr>
                <w:rFonts w:ascii="標楷體" w:eastAsia="標楷體" w:hAnsi="標楷體" w:cs="Times New Roman"/>
              </w:rPr>
              <w:t>65歲以上老人衰弱盛行率為19.0%，</w:t>
            </w:r>
            <w:r w:rsidR="004C7579" w:rsidRPr="00160ED3">
              <w:rPr>
                <w:rFonts w:ascii="標楷體" w:eastAsia="標楷體" w:hAnsi="標楷體" w:cs="Times New Roman" w:hint="eastAsia"/>
              </w:rPr>
              <w:t>臺灣高齡健康與長照服務</w:t>
            </w:r>
            <w:r w:rsidR="004C7579" w:rsidRPr="00160ED3">
              <w:rPr>
                <w:rFonts w:ascii="標楷體" w:eastAsia="標楷體" w:hAnsi="標楷體" w:cs="Times New Roman"/>
              </w:rPr>
              <w:t>2021年報</w:t>
            </w:r>
            <w:r w:rsidR="004C7579" w:rsidRPr="00160ED3">
              <w:rPr>
                <w:rFonts w:ascii="標楷體" w:eastAsia="標楷體" w:hAnsi="標楷體" w:cs="Times New Roman" w:hint="eastAsia"/>
              </w:rPr>
              <w:t>顯示老年人口健保就醫率達101%，</w:t>
            </w:r>
            <w:r w:rsidRPr="00160ED3">
              <w:rPr>
                <w:rFonts w:ascii="標楷體" w:eastAsia="標楷體" w:hAnsi="標楷體" w:cs="Times New Roman"/>
              </w:rPr>
              <w:t>健保資料門診就醫數推斷每年約可從門診篩出</w:t>
            </w:r>
            <w:r w:rsidR="004C7579" w:rsidRPr="00160ED3">
              <w:rPr>
                <w:rFonts w:ascii="標楷體" w:eastAsia="標楷體" w:hAnsi="標楷體" w:cs="Times New Roman"/>
              </w:rPr>
              <w:t>總數為820</w:t>
            </w:r>
            <w:r w:rsidR="004C7579" w:rsidRPr="00160ED3">
              <w:rPr>
                <w:rFonts w:ascii="標楷體" w:eastAsia="標楷體" w:hAnsi="標楷體" w:cs="Times New Roman" w:hint="eastAsia"/>
              </w:rPr>
              <w:t>,</w:t>
            </w:r>
            <w:r w:rsidR="004C7579" w:rsidRPr="00160ED3">
              <w:rPr>
                <w:rFonts w:ascii="標楷體" w:eastAsia="標楷體" w:hAnsi="標楷體" w:cs="Times New Roman"/>
              </w:rPr>
              <w:t>205</w:t>
            </w:r>
            <w:r w:rsidRPr="00160ED3">
              <w:rPr>
                <w:rFonts w:ascii="標楷體" w:eastAsia="標楷體" w:hAnsi="標楷體" w:cs="Times New Roman"/>
              </w:rPr>
              <w:t>名衰弱老人，其中20%實際接受評估及處置，共計約1</w:t>
            </w:r>
            <w:r w:rsidR="004C7579" w:rsidRPr="00160ED3">
              <w:rPr>
                <w:rFonts w:ascii="標楷體" w:eastAsia="標楷體" w:hAnsi="標楷體" w:cs="Times New Roman" w:hint="eastAsia"/>
              </w:rPr>
              <w:t>64</w:t>
            </w:r>
            <w:r w:rsidR="004C7579" w:rsidRPr="00160ED3">
              <w:rPr>
                <w:rFonts w:ascii="標楷體" w:eastAsia="標楷體" w:hAnsi="標楷體" w:cs="Times New Roman"/>
              </w:rPr>
              <w:t>,</w:t>
            </w:r>
            <w:r w:rsidR="004C7579" w:rsidRPr="00160ED3">
              <w:rPr>
                <w:rFonts w:ascii="標楷體" w:eastAsia="標楷體" w:hAnsi="標楷體" w:cs="Times New Roman" w:hint="eastAsia"/>
              </w:rPr>
              <w:t>041</w:t>
            </w:r>
            <w:r w:rsidRPr="00160ED3">
              <w:rPr>
                <w:rFonts w:ascii="標楷體" w:eastAsia="標楷體" w:hAnsi="標楷體" w:cs="Times New Roman"/>
              </w:rPr>
              <w:t>名(假設每名老人每年至少會就醫1次，</w:t>
            </w:r>
            <w:r w:rsidR="004C7579" w:rsidRPr="00160ED3">
              <w:rPr>
                <w:rFonts w:ascii="標楷體" w:eastAsia="標楷體" w:hAnsi="標楷體" w:cs="Times New Roman"/>
              </w:rPr>
              <w:t>4,316,873</w:t>
            </w:r>
            <w:r w:rsidRPr="00160ED3">
              <w:rPr>
                <w:rFonts w:ascii="標楷體" w:eastAsia="標楷體" w:hAnsi="標楷體" w:cs="Times New Roman"/>
              </w:rPr>
              <w:t xml:space="preserve"> X門診衰弱盛行率19</w:t>
            </w:r>
            <w:r w:rsidR="004C7579" w:rsidRPr="00160ED3">
              <w:rPr>
                <w:rFonts w:ascii="標楷體" w:eastAsia="標楷體" w:hAnsi="標楷體" w:cs="Times New Roman" w:hint="eastAsia"/>
              </w:rPr>
              <w:t>%</w:t>
            </w:r>
            <w:r w:rsidR="004C7579" w:rsidRPr="00160ED3">
              <w:rPr>
                <w:rFonts w:ascii="標楷體" w:eastAsia="標楷體" w:hAnsi="標楷體" w:cs="Times New Roman"/>
              </w:rPr>
              <w:t>X</w:t>
            </w:r>
            <w:r w:rsidRPr="00160ED3">
              <w:rPr>
                <w:rFonts w:ascii="標楷體" w:eastAsia="標楷體" w:hAnsi="標楷體" w:cs="Times New Roman"/>
              </w:rPr>
              <w:t>實際接受評估及處置</w:t>
            </w:r>
            <w:r w:rsidR="004C7579" w:rsidRPr="00160ED3">
              <w:rPr>
                <w:rFonts w:ascii="標楷體" w:eastAsia="標楷體" w:hAnsi="標楷體" w:cs="Times New Roman" w:hint="eastAsia"/>
              </w:rPr>
              <w:t>20%=164</w:t>
            </w:r>
            <w:r w:rsidR="004C7579" w:rsidRPr="00160ED3">
              <w:rPr>
                <w:rFonts w:ascii="標楷體" w:eastAsia="標楷體" w:hAnsi="標楷體" w:cs="Times New Roman"/>
              </w:rPr>
              <w:t>,</w:t>
            </w:r>
            <w:r w:rsidR="004C7579" w:rsidRPr="00160ED3">
              <w:rPr>
                <w:rFonts w:ascii="標楷體" w:eastAsia="標楷體" w:hAnsi="標楷體" w:cs="Times New Roman" w:hint="eastAsia"/>
              </w:rPr>
              <w:t>041人</w:t>
            </w:r>
            <w:r w:rsidRPr="00160ED3">
              <w:rPr>
                <w:rFonts w:ascii="標楷體" w:eastAsia="標楷體" w:hAnsi="標楷體" w:cs="Times New Roman"/>
              </w:rPr>
              <w:t>)。</w:t>
            </w:r>
          </w:p>
        </w:tc>
      </w:tr>
      <w:tr w:rsidR="002D6CFD" w:rsidRPr="00B50690" w14:paraId="4E48D511" w14:textId="188F8DC0" w:rsidTr="002D6CFD">
        <w:tc>
          <w:tcPr>
            <w:tcW w:w="2428" w:type="dxa"/>
          </w:tcPr>
          <w:p w14:paraId="6E28809F" w14:textId="539CB9B7" w:rsidR="002D6CFD" w:rsidRPr="00B50690" w:rsidRDefault="002D6CFD" w:rsidP="006E3660">
            <w:pPr>
              <w:pStyle w:val="ae"/>
              <w:tabs>
                <w:tab w:val="left" w:pos="5295"/>
              </w:tabs>
              <w:spacing w:line="400" w:lineRule="exact"/>
              <w:rPr>
                <w:rFonts w:ascii="標楷體" w:eastAsia="標楷體" w:hAnsi="標楷體"/>
                <w:spacing w:val="-5"/>
              </w:rPr>
            </w:pPr>
            <w:r w:rsidRPr="00B50690">
              <w:rPr>
                <w:rFonts w:ascii="標楷體" w:eastAsia="標楷體" w:hAnsi="標楷體"/>
                <w:spacing w:val="-6"/>
              </w:rPr>
              <w:lastRenderedPageBreak/>
              <w:t>成本分析</w:t>
            </w:r>
          </w:p>
        </w:tc>
        <w:tc>
          <w:tcPr>
            <w:tcW w:w="6214" w:type="dxa"/>
          </w:tcPr>
          <w:p w14:paraId="22DB3339" w14:textId="3E8D9639" w:rsidR="002D6CFD" w:rsidRPr="00160ED3" w:rsidRDefault="002D6CFD" w:rsidP="002D6CFD">
            <w:pPr>
              <w:pStyle w:val="ae"/>
              <w:tabs>
                <w:tab w:val="left" w:pos="5295"/>
              </w:tabs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160ED3">
              <w:rPr>
                <w:rFonts w:ascii="標楷體" w:eastAsia="標楷體" w:hAnsi="標楷體"/>
                <w:spacing w:val="-22"/>
              </w:rPr>
              <w:t xml:space="preserve">詳附表 </w:t>
            </w:r>
            <w:r w:rsidRPr="00160ED3">
              <w:rPr>
                <w:rFonts w:ascii="標楷體" w:eastAsia="標楷體" w:hAnsi="標楷體"/>
                <w:spacing w:val="-12"/>
              </w:rPr>
              <w:t>2</w:t>
            </w:r>
          </w:p>
        </w:tc>
      </w:tr>
      <w:tr w:rsidR="002D6CFD" w:rsidRPr="00B50690" w14:paraId="4AED71B0" w14:textId="1BDEFF39" w:rsidTr="002D6CFD">
        <w:tc>
          <w:tcPr>
            <w:tcW w:w="2428" w:type="dxa"/>
          </w:tcPr>
          <w:p w14:paraId="7254296D" w14:textId="20E35F89" w:rsidR="002D6CFD" w:rsidRPr="00B50690" w:rsidRDefault="002D6CFD" w:rsidP="006E3660">
            <w:pPr>
              <w:pStyle w:val="ae"/>
              <w:tabs>
                <w:tab w:val="left" w:pos="5295"/>
              </w:tabs>
              <w:spacing w:line="400" w:lineRule="exact"/>
              <w:rPr>
                <w:rFonts w:ascii="標楷體" w:eastAsia="標楷體" w:hAnsi="標楷體"/>
                <w:spacing w:val="-6"/>
              </w:rPr>
            </w:pPr>
            <w:r w:rsidRPr="00B50690">
              <w:rPr>
                <w:rFonts w:ascii="標楷體" w:eastAsia="標楷體" w:hAnsi="標楷體"/>
                <w:spacing w:val="-6"/>
              </w:rPr>
              <w:t>效益分析</w:t>
            </w:r>
          </w:p>
        </w:tc>
        <w:tc>
          <w:tcPr>
            <w:tcW w:w="6214" w:type="dxa"/>
          </w:tcPr>
          <w:p w14:paraId="1B23C562" w14:textId="77777777" w:rsidR="002D6CFD" w:rsidRPr="00160ED3" w:rsidRDefault="002D6CFD" w:rsidP="002D6CFD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早期篩出前衰弱和衰弱老人。</w:t>
            </w:r>
          </w:p>
          <w:p w14:paraId="21C62E5D" w14:textId="381DF35B" w:rsidR="002D6CFD" w:rsidRPr="00160ED3" w:rsidRDefault="002D6CFD" w:rsidP="002D6CFD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spacing w:line="400" w:lineRule="exact"/>
              <w:contextualSpacing w:val="0"/>
              <w:jc w:val="both"/>
              <w:rPr>
                <w:rFonts w:ascii="標楷體" w:eastAsia="標楷體" w:hAnsi="標楷體"/>
                <w:spacing w:val="-22"/>
              </w:rPr>
            </w:pPr>
            <w:r w:rsidRPr="00160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預防或延緩前衰弱或衰弱老人衍生跌倒、行走能力下降、失能、失智、入住機構、高死亡率等嚴重後果，提昇老人群生活品質。</w:t>
            </w:r>
          </w:p>
        </w:tc>
      </w:tr>
      <w:tr w:rsidR="002D6CFD" w:rsidRPr="00B50690" w14:paraId="3778740B" w14:textId="5F5B4E1B" w:rsidTr="002D6CFD">
        <w:tc>
          <w:tcPr>
            <w:tcW w:w="2428" w:type="dxa"/>
          </w:tcPr>
          <w:p w14:paraId="1A559DD9" w14:textId="2B06B8F4" w:rsidR="002D6CFD" w:rsidRPr="00B50690" w:rsidRDefault="002D6CFD" w:rsidP="006E3660">
            <w:pPr>
              <w:pStyle w:val="ae"/>
              <w:tabs>
                <w:tab w:val="left" w:pos="5295"/>
              </w:tabs>
              <w:spacing w:line="400" w:lineRule="exact"/>
              <w:rPr>
                <w:rFonts w:ascii="標楷體" w:eastAsia="標楷體" w:hAnsi="標楷體"/>
                <w:color w:val="C00000"/>
                <w:spacing w:val="-6"/>
              </w:rPr>
            </w:pPr>
            <w:r w:rsidRPr="002D6CFD">
              <w:rPr>
                <w:rFonts w:ascii="標楷體" w:eastAsia="標楷體" w:hAnsi="標楷體"/>
                <w:spacing w:val="-5"/>
              </w:rPr>
              <w:t>法規競合分析</w:t>
            </w:r>
          </w:p>
        </w:tc>
        <w:tc>
          <w:tcPr>
            <w:tcW w:w="6214" w:type="dxa"/>
          </w:tcPr>
          <w:p w14:paraId="7AE407D4" w14:textId="77777777" w:rsidR="002D6CFD" w:rsidRPr="00160ED3" w:rsidRDefault="002D6CFD" w:rsidP="00FD117E">
            <w:pPr>
              <w:pStyle w:val="ae"/>
              <w:tabs>
                <w:tab w:val="left" w:pos="5295"/>
              </w:tabs>
              <w:spacing w:line="400" w:lineRule="exact"/>
              <w:ind w:firstLineChars="2" w:firstLine="6"/>
              <w:jc w:val="both"/>
              <w:rPr>
                <w:rFonts w:ascii="標楷體" w:eastAsia="標楷體" w:hAnsi="標楷體" w:cs="Times New Roman"/>
              </w:rPr>
            </w:pPr>
            <w:r w:rsidRPr="00160ED3">
              <w:rPr>
                <w:rFonts w:ascii="標楷體" w:eastAsia="標楷體" w:hAnsi="標楷體" w:cs="Times New Roman" w:hint="eastAsia"/>
              </w:rPr>
              <w:t>與國健署長者健康整合式功能評估</w:t>
            </w:r>
            <w:r w:rsidRPr="00160ED3">
              <w:rPr>
                <w:rFonts w:ascii="標楷體" w:eastAsia="標楷體" w:hAnsi="標楷體" w:cs="Times New Roman"/>
              </w:rPr>
              <w:t>(ICOPE</w:t>
            </w:r>
            <w:r w:rsidRPr="00160ED3">
              <w:rPr>
                <w:rFonts w:ascii="標楷體" w:eastAsia="標楷體" w:hAnsi="標楷體" w:cs="Times New Roman" w:hint="eastAsia"/>
              </w:rPr>
              <w:t xml:space="preserve"> </w:t>
            </w:r>
            <w:r w:rsidRPr="00160ED3">
              <w:rPr>
                <w:rFonts w:ascii="標楷體" w:eastAsia="標楷體" w:hAnsi="標楷體" w:cs="Times New Roman"/>
              </w:rPr>
              <w:t>,Integrated Care for Older People，包含認知功能、行動能力、營養、視力、聽力、憂鬱等6大項目)</w:t>
            </w:r>
            <w:r w:rsidRPr="00160ED3">
              <w:rPr>
                <w:rFonts w:ascii="標楷體" w:eastAsia="標楷體" w:hAnsi="標楷體" w:cs="Times New Roman" w:hint="eastAsia"/>
              </w:rPr>
              <w:t>內容有競合性。</w:t>
            </w:r>
          </w:p>
          <w:p w14:paraId="61954B59" w14:textId="6BD23910" w:rsidR="002D6CFD" w:rsidRPr="00160ED3" w:rsidRDefault="002D6CFD" w:rsidP="002D6CFD">
            <w:pPr>
              <w:pStyle w:val="ae"/>
              <w:tabs>
                <w:tab w:val="left" w:pos="5295"/>
              </w:tabs>
              <w:spacing w:line="400" w:lineRule="exact"/>
              <w:jc w:val="both"/>
              <w:rPr>
                <w:rFonts w:ascii="標楷體" w:eastAsia="標楷體" w:hAnsi="標楷體"/>
                <w:spacing w:val="-22"/>
              </w:rPr>
            </w:pPr>
            <w:r w:rsidRPr="00160ED3">
              <w:rPr>
                <w:rFonts w:ascii="標楷體" w:eastAsia="標楷體" w:hAnsi="標楷體" w:cs="Times New Roman" w:hint="eastAsia"/>
              </w:rPr>
              <w:t>門診醫師可以根據自己對病患整體了解選擇篩檢工具，ICOPE可針對生病但尚未衰弱之個案進行評估；但SOF可針對懷疑衰弱但尚未失能之個案進行評估，彼此可以互補而無衝突</w:t>
            </w:r>
            <w:r w:rsidRPr="00160ED3">
              <w:rPr>
                <w:rFonts w:ascii="標楷體" w:eastAsia="標楷體" w:hAnsi="標楷體" w:cs="Times New Roman"/>
              </w:rPr>
              <w:t>。</w:t>
            </w:r>
          </w:p>
        </w:tc>
      </w:tr>
      <w:tr w:rsidR="002D6CFD" w:rsidRPr="00B50690" w14:paraId="1E2751B2" w14:textId="6D648BC4" w:rsidTr="002D6CFD">
        <w:tc>
          <w:tcPr>
            <w:tcW w:w="2428" w:type="dxa"/>
          </w:tcPr>
          <w:p w14:paraId="2BF2C094" w14:textId="7072909E" w:rsidR="002D6CFD" w:rsidRPr="00B50690" w:rsidRDefault="002D6CFD" w:rsidP="006E3660">
            <w:pPr>
              <w:pStyle w:val="ae"/>
              <w:tabs>
                <w:tab w:val="left" w:pos="5295"/>
              </w:tabs>
              <w:spacing w:line="400" w:lineRule="exact"/>
              <w:rPr>
                <w:rFonts w:ascii="標楷體" w:eastAsia="標楷體" w:hAnsi="標楷體"/>
                <w:spacing w:val="-5"/>
              </w:rPr>
            </w:pPr>
            <w:r w:rsidRPr="00B50690">
              <w:rPr>
                <w:rFonts w:ascii="標楷體" w:eastAsia="標楷體" w:hAnsi="標楷體"/>
                <w:spacing w:val="-2"/>
              </w:rPr>
              <w:t>可提供照顧組合之</w:t>
            </w:r>
            <w:r w:rsidRPr="00B50690">
              <w:rPr>
                <w:rFonts w:ascii="標楷體" w:eastAsia="標楷體" w:hAnsi="標楷體"/>
                <w:spacing w:val="-2"/>
              </w:rPr>
              <w:lastRenderedPageBreak/>
              <w:t>服務單位數及分布情形評估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center"/>
          </w:tcPr>
          <w:p w14:paraId="48AF7A49" w14:textId="77777777" w:rsidR="002D6CFD" w:rsidRPr="00160ED3" w:rsidRDefault="002D6CFD" w:rsidP="002D6CFD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全國醫療院所門診部。</w:t>
            </w:r>
          </w:p>
          <w:p w14:paraId="0EF30F79" w14:textId="67B0697E" w:rsidR="002D6CFD" w:rsidRPr="00160ED3" w:rsidRDefault="00207315" w:rsidP="00207315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完成長期照顧</w:t>
            </w:r>
            <w:r w:rsidRPr="00160ED3">
              <w:rPr>
                <w:rFonts w:ascii="標楷體" w:eastAsia="標楷體" w:hAnsi="標楷體" w:cs="Times New Roman"/>
                <w:sz w:val="28"/>
                <w:szCs w:val="28"/>
              </w:rPr>
              <w:t>Level-I</w:t>
            </w:r>
            <w:r w:rsidR="00132BF9"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共同課程</w:t>
            </w:r>
            <w:r w:rsidRPr="00160ED3">
              <w:rPr>
                <w:rFonts w:ascii="標楷體" w:eastAsia="標楷體" w:hAnsi="標楷體" w:cs="Times New Roman"/>
                <w:sz w:val="28"/>
                <w:szCs w:val="28"/>
              </w:rPr>
              <w:t>與Level</w:t>
            </w:r>
            <w:r w:rsidR="00160ED3"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Pr="00160ED3">
              <w:rPr>
                <w:rFonts w:ascii="標楷體" w:eastAsia="標楷體" w:hAnsi="標楷體" w:cs="Times New Roman"/>
                <w:sz w:val="28"/>
                <w:szCs w:val="28"/>
              </w:rPr>
              <w:t>II</w:t>
            </w:r>
            <w:r w:rsidR="00132BF9"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西醫師專業課程</w:t>
            </w:r>
            <w:r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之老</w:t>
            </w:r>
            <w:r w:rsidR="00132BF9"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醫學科、復健科、骨科、</w:t>
            </w:r>
            <w:r w:rsidR="00132BF9"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神經科</w:t>
            </w:r>
            <w:r w:rsidR="00FD117E">
              <w:rPr>
                <w:rFonts w:ascii="標楷體" w:eastAsia="標楷體" w:hAnsi="標楷體" w:cs="Times New Roman" w:hint="eastAsia"/>
                <w:sz w:val="28"/>
                <w:szCs w:val="28"/>
              </w:rPr>
              <w:t>、神經</w:t>
            </w:r>
            <w:r w:rsidR="00132BF9"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外科、家庭醫學科、</w:t>
            </w:r>
            <w:r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內科</w:t>
            </w:r>
            <w:r w:rsidR="00FD117E">
              <w:rPr>
                <w:rFonts w:ascii="標楷體" w:eastAsia="標楷體" w:hAnsi="標楷體" w:cs="Times New Roman" w:hint="eastAsia"/>
                <w:sz w:val="28"/>
                <w:szCs w:val="28"/>
              </w:rPr>
              <w:t>等</w:t>
            </w:r>
            <w:r w:rsidRPr="00160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專科醫師；</w:t>
            </w:r>
            <w:r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或取得長期照顧服務人員證明，且在效期內之醫師。</w:t>
            </w:r>
          </w:p>
          <w:p w14:paraId="1DA55D57" w14:textId="753387DF" w:rsidR="002D6CFD" w:rsidRPr="00160ED3" w:rsidRDefault="002D6CFD" w:rsidP="002D6CFD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全台</w:t>
            </w:r>
            <w:r w:rsidR="00132BF9"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老年醫學科</w:t>
            </w:r>
            <w:r w:rsidRPr="00160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、復健科、骨科、</w:t>
            </w:r>
            <w:r w:rsidR="00132BF9"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神經科</w:t>
            </w:r>
            <w:r w:rsidR="00FD117E">
              <w:rPr>
                <w:rFonts w:ascii="標楷體" w:eastAsia="標楷體" w:hAnsi="標楷體" w:cs="Times New Roman" w:hint="eastAsia"/>
                <w:sz w:val="28"/>
                <w:szCs w:val="28"/>
              </w:rPr>
              <w:t>、神經</w:t>
            </w:r>
            <w:r w:rsidR="00132BF9"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外科、家庭醫學科、</w:t>
            </w:r>
            <w:r w:rsidR="00207315"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內科</w:t>
            </w:r>
            <w:r w:rsidRPr="00160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等科別專科醫師或具</w:t>
            </w:r>
            <w:r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長期照顧服務人員訓練認證繼續教育及登錄辦法完成認證為長</w:t>
            </w:r>
            <w:r w:rsidR="00207315"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期照顧服務</w:t>
            </w:r>
            <w:r w:rsidRPr="00160ED3">
              <w:rPr>
                <w:rFonts w:ascii="標楷體" w:eastAsia="標楷體" w:hAnsi="標楷體" w:cs="Times New Roman" w:hint="eastAsia"/>
                <w:sz w:val="28"/>
                <w:szCs w:val="28"/>
              </w:rPr>
              <w:t>人員之醫師</w:t>
            </w:r>
            <w:r w:rsidRPr="00160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分布普遍，不虞有資源不足。</w:t>
            </w:r>
          </w:p>
          <w:p w14:paraId="6BFA97E9" w14:textId="77777777" w:rsidR="002D6CFD" w:rsidRPr="00160ED3" w:rsidRDefault="002D6CFD" w:rsidP="002D6CFD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搭配後續照護轉介計畫可與全台長照據點結合，也有充足的資源。</w:t>
            </w:r>
          </w:p>
          <w:p w14:paraId="1AD2A597" w14:textId="19684E7C" w:rsidR="002B658E" w:rsidRPr="00160ED3" w:rsidRDefault="002B658E" w:rsidP="002D6CFD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spacing w:line="400" w:lineRule="exact"/>
              <w:contextualSpacing w:val="0"/>
              <w:jc w:val="both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 w:rsidRPr="002B65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建議以</w:t>
            </w:r>
            <w:r w:rsidRPr="008263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試辦計畫開始進行，試辦對象以</w:t>
            </w:r>
            <w:r w:rsidRPr="008263F3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8263F3">
              <w:rPr>
                <w:rFonts w:ascii="Times New Roman" w:eastAsia="標楷體" w:hAnsi="Times New Roman" w:cs="Times New Roman"/>
                <w:sz w:val="28"/>
                <w:szCs w:val="28"/>
              </w:rPr>
              <w:t>間醫療群</w:t>
            </w:r>
            <w:r w:rsidRPr="008263F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263F3">
              <w:rPr>
                <w:rFonts w:ascii="Times New Roman" w:eastAsia="標楷體" w:hAnsi="Times New Roman" w:cs="Times New Roman"/>
                <w:sz w:val="28"/>
                <w:szCs w:val="28"/>
              </w:rPr>
              <w:t>參與國健署</w:t>
            </w:r>
            <w:r w:rsidRPr="008263F3">
              <w:rPr>
                <w:rFonts w:ascii="Times New Roman" w:eastAsia="標楷體" w:hAnsi="Times New Roman" w:cs="Times New Roman"/>
                <w:sz w:val="28"/>
                <w:szCs w:val="28"/>
              </w:rPr>
              <w:t>ICOPE</w:t>
            </w:r>
            <w:r w:rsidRPr="008263F3">
              <w:rPr>
                <w:rFonts w:ascii="Times New Roman" w:eastAsia="標楷體" w:hAnsi="Times New Roman" w:cs="Times New Roman"/>
                <w:sz w:val="28"/>
                <w:szCs w:val="28"/>
              </w:rPr>
              <w:t>計畫的醫療群優先）及</w:t>
            </w:r>
            <w:r w:rsidRPr="008263F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8263F3">
              <w:rPr>
                <w:rFonts w:ascii="Times New Roman" w:eastAsia="標楷體" w:hAnsi="Times New Roman" w:cs="Times New Roman"/>
                <w:sz w:val="28"/>
                <w:szCs w:val="28"/>
              </w:rPr>
              <w:t>間醫院，並考量城鄉差距，包含都會、鄉村、山地離島地區，共計</w:t>
            </w:r>
            <w:r w:rsidRPr="008263F3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8263F3">
              <w:rPr>
                <w:rFonts w:ascii="Times New Roman" w:eastAsia="標楷體" w:hAnsi="Times New Roman" w:cs="Times New Roman"/>
                <w:sz w:val="28"/>
                <w:szCs w:val="28"/>
              </w:rPr>
              <w:t>單位先行試辦，再依試辦成效，研議擴大辦理。</w:t>
            </w:r>
          </w:p>
        </w:tc>
      </w:tr>
      <w:tr w:rsidR="002D6CFD" w:rsidRPr="00B50690" w14:paraId="23A60152" w14:textId="138D772D" w:rsidTr="002D6CFD">
        <w:tc>
          <w:tcPr>
            <w:tcW w:w="2428" w:type="dxa"/>
          </w:tcPr>
          <w:p w14:paraId="3C9890B9" w14:textId="2EE9F0B9" w:rsidR="002D6CFD" w:rsidRPr="00B50690" w:rsidRDefault="002D6CFD" w:rsidP="006E3660">
            <w:pPr>
              <w:pStyle w:val="ae"/>
              <w:tabs>
                <w:tab w:val="left" w:pos="5295"/>
              </w:tabs>
              <w:spacing w:line="400" w:lineRule="exact"/>
              <w:rPr>
                <w:rFonts w:ascii="標楷體" w:eastAsia="標楷體" w:hAnsi="標楷體"/>
                <w:spacing w:val="-5"/>
              </w:rPr>
            </w:pPr>
            <w:r w:rsidRPr="00B50690">
              <w:rPr>
                <w:rFonts w:ascii="標楷體" w:eastAsia="標楷體" w:hAnsi="標楷體"/>
                <w:spacing w:val="-2"/>
              </w:rPr>
              <w:lastRenderedPageBreak/>
              <w:t>可提供照顧組合之人力數及分布情形評估</w:t>
            </w:r>
          </w:p>
        </w:tc>
        <w:tc>
          <w:tcPr>
            <w:tcW w:w="6214" w:type="dxa"/>
            <w:vAlign w:val="center"/>
          </w:tcPr>
          <w:p w14:paraId="746033FE" w14:textId="0476AB7E" w:rsidR="002D6CFD" w:rsidRPr="00132BF9" w:rsidRDefault="002D6CFD" w:rsidP="002D6CFD">
            <w:pPr>
              <w:pStyle w:val="a9"/>
              <w:widowControl/>
              <w:numPr>
                <w:ilvl w:val="0"/>
                <w:numId w:val="6"/>
              </w:numPr>
              <w:autoSpaceDE/>
              <w:autoSpaceDN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B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全國健保特約醫療院所執業門診，截至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112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月止統計，醫院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474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家、診所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21,591</w:t>
            </w:r>
            <w:r w:rsidR="00FD11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，衛生所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374</w:t>
            </w:r>
            <w:r w:rsidR="00FD11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，分佈全台各地。</w:t>
            </w:r>
          </w:p>
          <w:p w14:paraId="43F4DBEE" w14:textId="7BF811BB" w:rsidR="002D6CFD" w:rsidRPr="002D6CFD" w:rsidRDefault="002D6CFD" w:rsidP="002D6CFD">
            <w:pPr>
              <w:pStyle w:val="a9"/>
              <w:widowControl/>
              <w:numPr>
                <w:ilvl w:val="0"/>
                <w:numId w:val="6"/>
              </w:numPr>
              <w:autoSpaceDE/>
              <w:autoSpaceDN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color w:val="00B050"/>
                <w:sz w:val="28"/>
                <w:szCs w:val="28"/>
              </w:rPr>
            </w:pP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後續轉介照護長照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2.0ABC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級據點，截至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112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月止之佈建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級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719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間、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級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8,491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間、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級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4,144</w:t>
            </w:r>
            <w:r w:rsidRPr="00132BF9">
              <w:rPr>
                <w:rFonts w:ascii="Times New Roman" w:eastAsia="標楷體" w:hAnsi="Times New Roman" w:cs="Times New Roman"/>
                <w:sz w:val="28"/>
                <w:szCs w:val="28"/>
              </w:rPr>
              <w:t>間。</w:t>
            </w:r>
          </w:p>
        </w:tc>
      </w:tr>
      <w:tr w:rsidR="002D6CFD" w:rsidRPr="00B50690" w14:paraId="7D539020" w14:textId="668E5C3B" w:rsidTr="002D6CFD">
        <w:tc>
          <w:tcPr>
            <w:tcW w:w="2428" w:type="dxa"/>
          </w:tcPr>
          <w:p w14:paraId="5C5AAFB7" w14:textId="5FC4A73F" w:rsidR="002D6CFD" w:rsidRPr="00B50690" w:rsidRDefault="002D6CFD" w:rsidP="006E3660">
            <w:pPr>
              <w:pStyle w:val="ae"/>
              <w:tabs>
                <w:tab w:val="left" w:pos="5295"/>
              </w:tabs>
              <w:spacing w:line="400" w:lineRule="exact"/>
              <w:rPr>
                <w:rFonts w:ascii="標楷體" w:eastAsia="標楷體" w:hAnsi="標楷體"/>
                <w:spacing w:val="-5"/>
              </w:rPr>
            </w:pPr>
            <w:r w:rsidRPr="00B50690">
              <w:rPr>
                <w:rFonts w:ascii="標楷體" w:eastAsia="標楷體" w:hAnsi="標楷體"/>
                <w:spacing w:val="-5"/>
              </w:rPr>
              <w:t>照顧組合之未來發展性</w:t>
            </w:r>
          </w:p>
        </w:tc>
        <w:tc>
          <w:tcPr>
            <w:tcW w:w="6214" w:type="dxa"/>
            <w:vAlign w:val="center"/>
          </w:tcPr>
          <w:p w14:paraId="6915E7EE" w14:textId="77777777" w:rsidR="002D6CFD" w:rsidRPr="00483BFA" w:rsidRDefault="002D6CFD" w:rsidP="002D6CFD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spacing w:line="400" w:lineRule="exact"/>
              <w:contextualSpacing w:val="0"/>
              <w:jc w:val="both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 w:rsidRPr="00483B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目前該組合編號由醫師執行。</w:t>
            </w:r>
          </w:p>
          <w:p w14:paraId="1E13EC0E" w14:textId="086F796B" w:rsidR="002D6CFD" w:rsidRPr="00B50690" w:rsidRDefault="002D6CFD" w:rsidP="002D6CFD">
            <w:pPr>
              <w:pStyle w:val="a9"/>
              <w:widowControl/>
              <w:numPr>
                <w:ilvl w:val="0"/>
                <w:numId w:val="7"/>
              </w:numPr>
              <w:autoSpaceDE/>
              <w:autoSpaceDN/>
              <w:spacing w:line="400" w:lineRule="exact"/>
              <w:contextualSpacing w:val="0"/>
              <w:jc w:val="both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 w:rsidRPr="00B506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未來可結合長照</w:t>
            </w:r>
            <w:r w:rsidRPr="00B506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ABC</w:t>
            </w:r>
            <w:r w:rsidRPr="00B506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級單位另立共同照顧組合代碼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2D6CFD" w:rsidRPr="00B50690" w14:paraId="317FD812" w14:textId="6F18EAC7" w:rsidTr="002D6CFD">
        <w:tc>
          <w:tcPr>
            <w:tcW w:w="2428" w:type="dxa"/>
          </w:tcPr>
          <w:p w14:paraId="274DEAC4" w14:textId="16510504" w:rsidR="002D6CFD" w:rsidRPr="00B50690" w:rsidRDefault="002D6CFD" w:rsidP="006E3660">
            <w:pPr>
              <w:pStyle w:val="ae"/>
              <w:tabs>
                <w:tab w:val="left" w:pos="5295"/>
              </w:tabs>
              <w:spacing w:line="400" w:lineRule="exact"/>
              <w:rPr>
                <w:rFonts w:ascii="標楷體" w:eastAsia="標楷體" w:hAnsi="標楷體"/>
                <w:spacing w:val="-5"/>
              </w:rPr>
            </w:pPr>
            <w:r w:rsidRPr="00B50690">
              <w:rPr>
                <w:rFonts w:ascii="標楷體" w:eastAsia="標楷體" w:hAnsi="標楷體"/>
                <w:spacing w:val="-6"/>
              </w:rPr>
              <w:t>備註</w:t>
            </w:r>
          </w:p>
        </w:tc>
        <w:tc>
          <w:tcPr>
            <w:tcW w:w="6214" w:type="dxa"/>
          </w:tcPr>
          <w:p w14:paraId="73341E6B" w14:textId="77777777" w:rsidR="002D6CFD" w:rsidRPr="00B50690" w:rsidRDefault="002D6CFD" w:rsidP="006E3660">
            <w:pPr>
              <w:pStyle w:val="ae"/>
              <w:tabs>
                <w:tab w:val="left" w:pos="5295"/>
              </w:tabs>
              <w:spacing w:line="400" w:lineRule="exact"/>
              <w:rPr>
                <w:rFonts w:ascii="標楷體" w:eastAsia="標楷體" w:hAnsi="標楷體"/>
                <w:spacing w:val="-22"/>
              </w:rPr>
            </w:pPr>
          </w:p>
        </w:tc>
      </w:tr>
    </w:tbl>
    <w:p w14:paraId="130A2133" w14:textId="58D46484" w:rsidR="006F04C5" w:rsidRPr="00EF149C" w:rsidRDefault="006F04C5"/>
    <w:sectPr w:rsidR="006F04C5" w:rsidRPr="00EF14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5D6EA" w14:textId="77777777" w:rsidR="004E35B4" w:rsidRDefault="004E35B4" w:rsidP="00A55810">
      <w:r>
        <w:separator/>
      </w:r>
    </w:p>
  </w:endnote>
  <w:endnote w:type="continuationSeparator" w:id="0">
    <w:p w14:paraId="2E87AA33" w14:textId="77777777" w:rsidR="004E35B4" w:rsidRDefault="004E35B4" w:rsidP="00A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6B0C2" w14:textId="77777777" w:rsidR="004E35B4" w:rsidRDefault="004E35B4" w:rsidP="00A55810">
      <w:r>
        <w:separator/>
      </w:r>
    </w:p>
  </w:footnote>
  <w:footnote w:type="continuationSeparator" w:id="0">
    <w:p w14:paraId="26C59ED4" w14:textId="77777777" w:rsidR="004E35B4" w:rsidRDefault="004E35B4" w:rsidP="00A5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23A1A"/>
    <w:multiLevelType w:val="hybridMultilevel"/>
    <w:tmpl w:val="9A8C6FCE"/>
    <w:lvl w:ilvl="0" w:tplc="CF081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BC26CF"/>
    <w:multiLevelType w:val="hybridMultilevel"/>
    <w:tmpl w:val="F4E45F9E"/>
    <w:lvl w:ilvl="0" w:tplc="0409000F">
      <w:start w:val="1"/>
      <w:numFmt w:val="decimal"/>
      <w:lvlText w:val="%1."/>
      <w:lvlJc w:val="left"/>
      <w:pPr>
        <w:ind w:left="469" w:hanging="480"/>
      </w:pPr>
    </w:lvl>
    <w:lvl w:ilvl="1" w:tplc="0409000F">
      <w:start w:val="1"/>
      <w:numFmt w:val="decimal"/>
      <w:lvlText w:val="%2.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2" w15:restartNumberingAfterBreak="0">
    <w:nsid w:val="3B3778B5"/>
    <w:multiLevelType w:val="hybridMultilevel"/>
    <w:tmpl w:val="0094A952"/>
    <w:lvl w:ilvl="0" w:tplc="30548E80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5F47738"/>
    <w:multiLevelType w:val="hybridMultilevel"/>
    <w:tmpl w:val="FA1CC280"/>
    <w:lvl w:ilvl="0" w:tplc="5EF8C3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661B21"/>
    <w:multiLevelType w:val="hybridMultilevel"/>
    <w:tmpl w:val="0CAC8C18"/>
    <w:lvl w:ilvl="0" w:tplc="98DA9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0D68E7"/>
    <w:multiLevelType w:val="hybridMultilevel"/>
    <w:tmpl w:val="7B24B42A"/>
    <w:lvl w:ilvl="0" w:tplc="0409000F">
      <w:start w:val="1"/>
      <w:numFmt w:val="decimal"/>
      <w:lvlText w:val="%1."/>
      <w:lvlJc w:val="left"/>
      <w:pPr>
        <w:ind w:left="21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6" w15:restartNumberingAfterBreak="0">
    <w:nsid w:val="5D695DF4"/>
    <w:multiLevelType w:val="hybridMultilevel"/>
    <w:tmpl w:val="52807C40"/>
    <w:lvl w:ilvl="0" w:tplc="0409000F">
      <w:start w:val="1"/>
      <w:numFmt w:val="decimal"/>
      <w:lvlText w:val="%1."/>
      <w:lvlJc w:val="left"/>
      <w:pPr>
        <w:ind w:left="10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7" w:hanging="480"/>
      </w:pPr>
    </w:lvl>
    <w:lvl w:ilvl="2" w:tplc="0409001B" w:tentative="1">
      <w:start w:val="1"/>
      <w:numFmt w:val="lowerRoman"/>
      <w:lvlText w:val="%3."/>
      <w:lvlJc w:val="right"/>
      <w:pPr>
        <w:ind w:left="2017" w:hanging="480"/>
      </w:pPr>
    </w:lvl>
    <w:lvl w:ilvl="3" w:tplc="0409000F" w:tentative="1">
      <w:start w:val="1"/>
      <w:numFmt w:val="decimal"/>
      <w:lvlText w:val="%4."/>
      <w:lvlJc w:val="left"/>
      <w:pPr>
        <w:ind w:left="24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7" w:hanging="480"/>
      </w:pPr>
    </w:lvl>
    <w:lvl w:ilvl="5" w:tplc="0409001B" w:tentative="1">
      <w:start w:val="1"/>
      <w:numFmt w:val="lowerRoman"/>
      <w:lvlText w:val="%6."/>
      <w:lvlJc w:val="right"/>
      <w:pPr>
        <w:ind w:left="3457" w:hanging="480"/>
      </w:pPr>
    </w:lvl>
    <w:lvl w:ilvl="6" w:tplc="0409000F" w:tentative="1">
      <w:start w:val="1"/>
      <w:numFmt w:val="decimal"/>
      <w:lvlText w:val="%7."/>
      <w:lvlJc w:val="left"/>
      <w:pPr>
        <w:ind w:left="39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7" w:hanging="480"/>
      </w:pPr>
    </w:lvl>
    <w:lvl w:ilvl="8" w:tplc="0409001B" w:tentative="1">
      <w:start w:val="1"/>
      <w:numFmt w:val="lowerRoman"/>
      <w:lvlText w:val="%9."/>
      <w:lvlJc w:val="right"/>
      <w:pPr>
        <w:ind w:left="4897" w:hanging="480"/>
      </w:pPr>
    </w:lvl>
  </w:abstractNum>
  <w:abstractNum w:abstractNumId="7" w15:restartNumberingAfterBreak="0">
    <w:nsid w:val="5FD36B3C"/>
    <w:multiLevelType w:val="hybridMultilevel"/>
    <w:tmpl w:val="45CC1258"/>
    <w:lvl w:ilvl="0" w:tplc="EC34483A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70E00133"/>
    <w:multiLevelType w:val="hybridMultilevel"/>
    <w:tmpl w:val="08029686"/>
    <w:lvl w:ilvl="0" w:tplc="C96E3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8D19C5"/>
    <w:multiLevelType w:val="hybridMultilevel"/>
    <w:tmpl w:val="2C3C7C1A"/>
    <w:lvl w:ilvl="0" w:tplc="6402239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F4A253A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79050C2D"/>
    <w:multiLevelType w:val="hybridMultilevel"/>
    <w:tmpl w:val="CA3E5A64"/>
    <w:lvl w:ilvl="0" w:tplc="5E207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30333350">
    <w:abstractNumId w:val="0"/>
  </w:num>
  <w:num w:numId="2" w16cid:durableId="514223645">
    <w:abstractNumId w:val="2"/>
  </w:num>
  <w:num w:numId="3" w16cid:durableId="205878387">
    <w:abstractNumId w:val="9"/>
  </w:num>
  <w:num w:numId="4" w16cid:durableId="698627488">
    <w:abstractNumId w:val="4"/>
  </w:num>
  <w:num w:numId="5" w16cid:durableId="1863592716">
    <w:abstractNumId w:val="8"/>
  </w:num>
  <w:num w:numId="6" w16cid:durableId="528105439">
    <w:abstractNumId w:val="3"/>
  </w:num>
  <w:num w:numId="7" w16cid:durableId="1561865799">
    <w:abstractNumId w:val="10"/>
  </w:num>
  <w:num w:numId="8" w16cid:durableId="555748003">
    <w:abstractNumId w:val="1"/>
  </w:num>
  <w:num w:numId="9" w16cid:durableId="1141925685">
    <w:abstractNumId w:val="5"/>
  </w:num>
  <w:num w:numId="10" w16cid:durableId="259728171">
    <w:abstractNumId w:val="6"/>
  </w:num>
  <w:num w:numId="11" w16cid:durableId="1912811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9C"/>
    <w:rsid w:val="00003F2A"/>
    <w:rsid w:val="00026DBA"/>
    <w:rsid w:val="00075921"/>
    <w:rsid w:val="00077185"/>
    <w:rsid w:val="00082E28"/>
    <w:rsid w:val="00083972"/>
    <w:rsid w:val="000A4061"/>
    <w:rsid w:val="000A55D6"/>
    <w:rsid w:val="000E6C0E"/>
    <w:rsid w:val="00132BF9"/>
    <w:rsid w:val="00160ED3"/>
    <w:rsid w:val="001C4A0B"/>
    <w:rsid w:val="00207315"/>
    <w:rsid w:val="00242451"/>
    <w:rsid w:val="00244DD0"/>
    <w:rsid w:val="002521B1"/>
    <w:rsid w:val="002B658E"/>
    <w:rsid w:val="002D6CFD"/>
    <w:rsid w:val="002E4DB7"/>
    <w:rsid w:val="003000B6"/>
    <w:rsid w:val="00302438"/>
    <w:rsid w:val="003054B1"/>
    <w:rsid w:val="00307EB4"/>
    <w:rsid w:val="00311EE3"/>
    <w:rsid w:val="00366AF4"/>
    <w:rsid w:val="00394583"/>
    <w:rsid w:val="003D1B35"/>
    <w:rsid w:val="003F363C"/>
    <w:rsid w:val="00435458"/>
    <w:rsid w:val="00440468"/>
    <w:rsid w:val="0044208B"/>
    <w:rsid w:val="00464CAF"/>
    <w:rsid w:val="00481877"/>
    <w:rsid w:val="00483170"/>
    <w:rsid w:val="00483BFA"/>
    <w:rsid w:val="004A7DFB"/>
    <w:rsid w:val="004C7579"/>
    <w:rsid w:val="004C7DEF"/>
    <w:rsid w:val="004D6D2C"/>
    <w:rsid w:val="004E35B4"/>
    <w:rsid w:val="004F3CFB"/>
    <w:rsid w:val="005370E3"/>
    <w:rsid w:val="0058688C"/>
    <w:rsid w:val="0059540C"/>
    <w:rsid w:val="005F2392"/>
    <w:rsid w:val="006341E7"/>
    <w:rsid w:val="006E198E"/>
    <w:rsid w:val="006E3660"/>
    <w:rsid w:val="006E74B5"/>
    <w:rsid w:val="006F04C5"/>
    <w:rsid w:val="007123F3"/>
    <w:rsid w:val="007179B1"/>
    <w:rsid w:val="00761BE4"/>
    <w:rsid w:val="00771B18"/>
    <w:rsid w:val="007913F5"/>
    <w:rsid w:val="007A6909"/>
    <w:rsid w:val="007C006D"/>
    <w:rsid w:val="008211DD"/>
    <w:rsid w:val="008263F3"/>
    <w:rsid w:val="008337AF"/>
    <w:rsid w:val="00876091"/>
    <w:rsid w:val="00877582"/>
    <w:rsid w:val="008F55A3"/>
    <w:rsid w:val="009009AC"/>
    <w:rsid w:val="0091285A"/>
    <w:rsid w:val="00913BC9"/>
    <w:rsid w:val="00936D41"/>
    <w:rsid w:val="00954F06"/>
    <w:rsid w:val="009657C0"/>
    <w:rsid w:val="0098341E"/>
    <w:rsid w:val="009A101E"/>
    <w:rsid w:val="009E7490"/>
    <w:rsid w:val="00A0506E"/>
    <w:rsid w:val="00A25F81"/>
    <w:rsid w:val="00A3375E"/>
    <w:rsid w:val="00A52918"/>
    <w:rsid w:val="00A55810"/>
    <w:rsid w:val="00AC5086"/>
    <w:rsid w:val="00B5049E"/>
    <w:rsid w:val="00B50690"/>
    <w:rsid w:val="00B82C95"/>
    <w:rsid w:val="00BD0B2D"/>
    <w:rsid w:val="00BE69FE"/>
    <w:rsid w:val="00BF619F"/>
    <w:rsid w:val="00C17772"/>
    <w:rsid w:val="00CA7123"/>
    <w:rsid w:val="00CB148A"/>
    <w:rsid w:val="00CB4A17"/>
    <w:rsid w:val="00D53169"/>
    <w:rsid w:val="00DF72CA"/>
    <w:rsid w:val="00E22F4B"/>
    <w:rsid w:val="00E24462"/>
    <w:rsid w:val="00E2655B"/>
    <w:rsid w:val="00E8519F"/>
    <w:rsid w:val="00EB6EF3"/>
    <w:rsid w:val="00EC358D"/>
    <w:rsid w:val="00EF0358"/>
    <w:rsid w:val="00EF149C"/>
    <w:rsid w:val="00EF77BC"/>
    <w:rsid w:val="00F43B02"/>
    <w:rsid w:val="00F96936"/>
    <w:rsid w:val="00FB23F2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AC3E5C"/>
  <w15:chartTrackingRefBased/>
  <w15:docId w15:val="{7E2D5440-C9B6-4B30-8ED0-ACA1C660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49C"/>
    <w:pPr>
      <w:widowControl w:val="0"/>
      <w:autoSpaceDE w:val="0"/>
      <w:autoSpaceDN w:val="0"/>
      <w:spacing w:after="0" w:line="240" w:lineRule="auto"/>
    </w:pPr>
    <w:rPr>
      <w:rFonts w:ascii="SimSun" w:eastAsia="SimSun" w:hAnsi="SimSun" w:cs="SimSun"/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F149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4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49C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49C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4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149C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149C"/>
    <w:pPr>
      <w:keepNext/>
      <w:keepLines/>
      <w:spacing w:before="4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49C"/>
    <w:pPr>
      <w:keepNext/>
      <w:keepLines/>
      <w:spacing w:before="4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49C"/>
    <w:pPr>
      <w:keepNext/>
      <w:keepLines/>
      <w:spacing w:before="4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F149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EF14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EF149C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EF14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EF149C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F149C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EF149C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EF149C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EF149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F149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EF1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F149C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EF149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F14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EF149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F149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F149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F14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EF149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F149C"/>
    <w:rPr>
      <w:b/>
      <w:bCs/>
      <w:smallCaps/>
      <w:color w:val="0F4761" w:themeColor="accent1" w:themeShade="BF"/>
      <w:spacing w:val="5"/>
    </w:rPr>
  </w:style>
  <w:style w:type="paragraph" w:styleId="ae">
    <w:name w:val="Body Text"/>
    <w:basedOn w:val="a"/>
    <w:link w:val="af"/>
    <w:uiPriority w:val="1"/>
    <w:qFormat/>
    <w:rsid w:val="00EF149C"/>
    <w:rPr>
      <w:sz w:val="28"/>
      <w:szCs w:val="28"/>
    </w:rPr>
  </w:style>
  <w:style w:type="character" w:customStyle="1" w:styleId="af">
    <w:name w:val="本文 字元"/>
    <w:basedOn w:val="a0"/>
    <w:link w:val="ae"/>
    <w:uiPriority w:val="1"/>
    <w:rsid w:val="00EF149C"/>
    <w:rPr>
      <w:rFonts w:ascii="SimSun" w:eastAsia="SimSun" w:hAnsi="SimSun" w:cs="SimSun"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8519F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519F"/>
    <w:pPr>
      <w:spacing w:before="80"/>
      <w:ind w:left="107"/>
    </w:pPr>
  </w:style>
  <w:style w:type="character" w:styleId="af0">
    <w:name w:val="Hyperlink"/>
    <w:basedOn w:val="a0"/>
    <w:uiPriority w:val="99"/>
    <w:unhideWhenUsed/>
    <w:rsid w:val="00083972"/>
    <w:rPr>
      <w:color w:val="467886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083972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08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A5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A55810"/>
    <w:rPr>
      <w:rFonts w:ascii="SimSun" w:eastAsia="SimSun" w:hAnsi="SimSun" w:cs="SimSun"/>
      <w:kern w:val="0"/>
      <w:sz w:val="20"/>
      <w:szCs w:val="20"/>
      <w14:ligatures w14:val="none"/>
    </w:rPr>
  </w:style>
  <w:style w:type="paragraph" w:styleId="af4">
    <w:name w:val="footer"/>
    <w:basedOn w:val="a"/>
    <w:link w:val="af5"/>
    <w:uiPriority w:val="99"/>
    <w:unhideWhenUsed/>
    <w:rsid w:val="00A5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sid w:val="00A55810"/>
    <w:rPr>
      <w:rFonts w:ascii="SimSun" w:eastAsia="SimSun" w:hAnsi="SimSun" w:cs="SimSun"/>
      <w:kern w:val="0"/>
      <w:sz w:val="20"/>
      <w:szCs w:val="20"/>
      <w14:ligatures w14:val="none"/>
    </w:rPr>
  </w:style>
  <w:style w:type="paragraph" w:styleId="af6">
    <w:name w:val="Body Text Indent"/>
    <w:basedOn w:val="a"/>
    <w:link w:val="af7"/>
    <w:uiPriority w:val="99"/>
    <w:semiHidden/>
    <w:unhideWhenUsed/>
    <w:rsid w:val="0098341E"/>
    <w:pPr>
      <w:spacing w:after="120"/>
      <w:ind w:leftChars="200" w:left="480"/>
    </w:pPr>
  </w:style>
  <w:style w:type="character" w:customStyle="1" w:styleId="af7">
    <w:name w:val="本文縮排 字元"/>
    <w:basedOn w:val="a0"/>
    <w:link w:val="af6"/>
    <w:uiPriority w:val="99"/>
    <w:semiHidden/>
    <w:rsid w:val="0098341E"/>
    <w:rPr>
      <w:rFonts w:ascii="SimSun" w:eastAsia="SimSun" w:hAnsi="SimSun" w:cs="SimSu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.chen@mail.tma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2E53A-3BF6-4C2E-AD75-A7926895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 威利</dc:creator>
  <cp:keywords/>
  <dc:description/>
  <cp:lastModifiedBy>威利 陳</cp:lastModifiedBy>
  <cp:revision>3</cp:revision>
  <cp:lastPrinted>2024-01-10T01:10:00Z</cp:lastPrinted>
  <dcterms:created xsi:type="dcterms:W3CDTF">2024-05-16T04:02:00Z</dcterms:created>
  <dcterms:modified xsi:type="dcterms:W3CDTF">2024-05-16T06:40:00Z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5932fa25619730f742d93342e5929d48a3a5973391a197f9a27ad852bbbd2bfd</vt:lpwstr>
  </property>
</Properties>
</file>