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99" w:rsidRDefault="00854F63">
      <w:pPr>
        <w:pStyle w:val="Textbody"/>
        <w:spacing w:after="0" w:line="460" w:lineRule="exact"/>
        <w:jc w:val="center"/>
      </w:pPr>
      <w:r>
        <w:rPr>
          <w:rFonts w:ascii="標楷體" w:hAnsi="標楷體" w:cs="標楷體"/>
          <w:color w:val="000000"/>
          <w:sz w:val="40"/>
          <w:szCs w:val="40"/>
          <w:lang w:val="zh-TW" w:bidi="ar-SA"/>
        </w:rPr>
        <w:t>稽徵機關核算一百十二年度執行業務者收入標準</w:t>
      </w:r>
    </w:p>
    <w:p w:rsidR="00B26F99" w:rsidRDefault="00854F63">
      <w:pPr>
        <w:pStyle w:val="Textbody"/>
        <w:wordWrap/>
        <w:spacing w:after="0" w:line="460" w:lineRule="exact"/>
        <w:ind w:firstLine="567"/>
        <w:jc w:val="both"/>
      </w:pPr>
      <w:r>
        <w:rPr>
          <w:color w:val="000000"/>
          <w:szCs w:val="28"/>
        </w:rPr>
        <w:t>執行業務者未依法辦理結算申報，或未依法設帳記載並保存憑證，或未能提供證明所得額之帳簿文據者，稽徵機關得依下列標準</w:t>
      </w:r>
      <w:r>
        <w:rPr>
          <w:color w:val="000000"/>
          <w:szCs w:val="28"/>
        </w:rPr>
        <w:t>(</w:t>
      </w:r>
      <w:r>
        <w:rPr>
          <w:color w:val="000000"/>
          <w:szCs w:val="28"/>
        </w:rPr>
        <w:t>金額以新臺幣為單位</w:t>
      </w:r>
      <w:r>
        <w:rPr>
          <w:color w:val="000000"/>
          <w:szCs w:val="28"/>
        </w:rPr>
        <w:t>)</w:t>
      </w:r>
      <w:r>
        <w:rPr>
          <w:color w:val="000000"/>
          <w:szCs w:val="28"/>
        </w:rPr>
        <w:t>計算其一百十二年度收入額。但經查得其確實收入資料較標準為高者，不在此限：</w:t>
      </w:r>
    </w:p>
    <w:p w:rsidR="00B26F99" w:rsidRDefault="00854F63">
      <w:pPr>
        <w:pStyle w:val="Textbody"/>
        <w:wordWrap/>
        <w:spacing w:after="0" w:line="460" w:lineRule="exact"/>
        <w:jc w:val="both"/>
        <w:rPr>
          <w:color w:val="000000"/>
          <w:szCs w:val="28"/>
        </w:rPr>
      </w:pPr>
      <w:r>
        <w:rPr>
          <w:color w:val="000000"/>
          <w:szCs w:val="28"/>
        </w:rPr>
        <w:t>一、律師：</w:t>
      </w:r>
    </w:p>
    <w:p w:rsidR="00B26F99" w:rsidRDefault="00854F63">
      <w:pPr>
        <w:pStyle w:val="Textbody"/>
        <w:tabs>
          <w:tab w:val="left" w:pos="1260"/>
        </w:tabs>
        <w:wordWrap/>
        <w:spacing w:after="0" w:line="460" w:lineRule="exact"/>
        <w:ind w:left="1077" w:hanging="454"/>
        <w:jc w:val="both"/>
      </w:pPr>
      <w:r>
        <w:t>(</w:t>
      </w:r>
      <w:r>
        <w:t>一</w:t>
      </w:r>
      <w:r>
        <w:t>)</w:t>
      </w:r>
      <w:r>
        <w:t>民事訴訟、刑事訴訟、刑事偵查、刑事審判裁定、刑事審判少年案件：每一程序在直轄市及市（即原省轄市</w:t>
      </w:r>
      <w:bookmarkStart w:id="0" w:name="_GoBack"/>
      <w:bookmarkEnd w:id="0"/>
      <w:r>
        <w:t>，下同）四萬元，在縣三萬五千元。但義務案件、發回更審案件或屬「保全」、「提存」、「聲請」案件，經提出約定不另收費文件，經查明屬實者，免計；其僅代撰書狀者，每件在直轄市及市一萬元，在縣九千元。</w:t>
      </w:r>
    </w:p>
    <w:p w:rsidR="00B26F99" w:rsidRDefault="00854F63">
      <w:pPr>
        <w:pStyle w:val="Textbody"/>
        <w:tabs>
          <w:tab w:val="left" w:pos="1260"/>
        </w:tabs>
        <w:wordWrap/>
        <w:spacing w:after="0" w:line="460" w:lineRule="exact"/>
        <w:ind w:left="1077" w:hanging="454"/>
        <w:jc w:val="both"/>
      </w:pPr>
      <w:r>
        <w:t>(</w:t>
      </w:r>
      <w:r>
        <w:t>二</w:t>
      </w:r>
      <w:r>
        <w:t>)</w:t>
      </w:r>
      <w:r>
        <w:t>公證案件：每件在直轄市及市五千元，在縣四千元。</w:t>
      </w:r>
    </w:p>
    <w:p w:rsidR="00B26F99" w:rsidRDefault="00854F63">
      <w:pPr>
        <w:pStyle w:val="Textbody"/>
        <w:tabs>
          <w:tab w:val="left" w:pos="1260"/>
        </w:tabs>
        <w:wordWrap/>
        <w:spacing w:after="0" w:line="460" w:lineRule="exact"/>
        <w:ind w:left="1077" w:hanging="454"/>
        <w:jc w:val="both"/>
      </w:pPr>
      <w:r>
        <w:t>(</w:t>
      </w:r>
      <w:r>
        <w:t>三</w:t>
      </w:r>
      <w:r>
        <w:t>)</w:t>
      </w:r>
      <w:r>
        <w:t>登記案件：每件五千元。</w:t>
      </w:r>
    </w:p>
    <w:p w:rsidR="00B26F99" w:rsidRDefault="00854F63">
      <w:pPr>
        <w:pStyle w:val="Textbody"/>
        <w:tabs>
          <w:tab w:val="left" w:pos="1260"/>
        </w:tabs>
        <w:wordWrap/>
        <w:spacing w:after="0" w:line="460" w:lineRule="exact"/>
        <w:ind w:left="1077" w:hanging="454"/>
        <w:jc w:val="both"/>
      </w:pPr>
      <w:r>
        <w:t>(</w:t>
      </w:r>
      <w:r>
        <w:t>四</w:t>
      </w:r>
      <w:r>
        <w:t>)</w:t>
      </w:r>
      <w:r>
        <w:t>擔任檢查人、清算人、破產管理人、遺囑執行人或其他信託人案件：按標的物財產價值百分之九計算收入；無標的物每件在直轄市及市二萬元，在縣</w:t>
      </w:r>
      <w:r>
        <w:t>一萬六千元。</w:t>
      </w:r>
    </w:p>
    <w:p w:rsidR="00B26F99" w:rsidRDefault="00854F63">
      <w:pPr>
        <w:pStyle w:val="Textbody"/>
        <w:tabs>
          <w:tab w:val="left" w:pos="1260"/>
        </w:tabs>
        <w:wordWrap/>
        <w:spacing w:after="0" w:line="460" w:lineRule="exact"/>
        <w:ind w:left="1077" w:hanging="454"/>
        <w:jc w:val="both"/>
      </w:pPr>
      <w:r>
        <w:t>(</w:t>
      </w:r>
      <w:r>
        <w:t>五</w:t>
      </w:r>
      <w:r>
        <w:t>)</w:t>
      </w:r>
      <w:r>
        <w:t>代理申報遺產稅、贈與稅案件：遺產稅每件在直轄市及市四萬元，在縣三萬五千元；贈與稅每件在直轄市及市二萬元，在縣一萬五千元。</w:t>
      </w:r>
    </w:p>
    <w:p w:rsidR="00B26F99" w:rsidRDefault="00854F63">
      <w:pPr>
        <w:pStyle w:val="Textbody"/>
        <w:tabs>
          <w:tab w:val="left" w:pos="1260"/>
        </w:tabs>
        <w:wordWrap/>
        <w:spacing w:after="0" w:line="460" w:lineRule="exact"/>
        <w:ind w:left="1077" w:hanging="454"/>
        <w:jc w:val="both"/>
      </w:pPr>
      <w:r>
        <w:t>(</w:t>
      </w:r>
      <w:r>
        <w:t>六</w:t>
      </w:r>
      <w:r>
        <w:t>)</w:t>
      </w:r>
      <w:r>
        <w:t>代理申請復查或異議、訴願、行政訴訟及再審：每一程序在直轄市及市四萬五千元，在縣三萬五千元。</w:t>
      </w:r>
    </w:p>
    <w:p w:rsidR="00B26F99" w:rsidRDefault="00854F63">
      <w:pPr>
        <w:pStyle w:val="Textbody"/>
        <w:tabs>
          <w:tab w:val="left" w:pos="1260"/>
        </w:tabs>
        <w:wordWrap/>
        <w:spacing w:after="0" w:line="460" w:lineRule="exact"/>
        <w:ind w:left="1077" w:hanging="454"/>
        <w:jc w:val="both"/>
      </w:pPr>
      <w:r>
        <w:t>(</w:t>
      </w:r>
      <w:r>
        <w:t>七</w:t>
      </w:r>
      <w:r>
        <w:t>)</w:t>
      </w:r>
      <w:r>
        <w:t>受聘為法律顧問之顧問費及車馬費，另計。</w:t>
      </w:r>
    </w:p>
    <w:p w:rsidR="00B26F99" w:rsidRDefault="00854F63">
      <w:pPr>
        <w:pStyle w:val="Textbody"/>
        <w:wordWrap/>
        <w:spacing w:after="0" w:line="460" w:lineRule="exact"/>
        <w:ind w:left="680" w:hanging="737"/>
        <w:rPr>
          <w:color w:val="000000"/>
          <w:szCs w:val="28"/>
        </w:rPr>
      </w:pPr>
      <w:r>
        <w:rPr>
          <w:color w:val="000000"/>
          <w:szCs w:val="28"/>
        </w:rPr>
        <w:t>二、會計師：</w:t>
      </w:r>
    </w:p>
    <w:p w:rsidR="00B26F99" w:rsidRDefault="00854F63">
      <w:pPr>
        <w:pStyle w:val="Textbody"/>
        <w:tabs>
          <w:tab w:val="left" w:pos="1191"/>
          <w:tab w:val="left" w:pos="1359"/>
        </w:tabs>
        <w:wordWrap/>
        <w:spacing w:after="0" w:line="460" w:lineRule="exact"/>
        <w:ind w:left="1176" w:hanging="576"/>
        <w:jc w:val="both"/>
        <w:rPr>
          <w:color w:val="000000"/>
          <w:szCs w:val="28"/>
        </w:rPr>
      </w:pPr>
      <w:r>
        <w:rPr>
          <w:color w:val="000000"/>
          <w:szCs w:val="28"/>
        </w:rPr>
        <w:t>(</w:t>
      </w:r>
      <w:r>
        <w:rPr>
          <w:color w:val="000000"/>
          <w:szCs w:val="28"/>
        </w:rPr>
        <w:t>一</w:t>
      </w:r>
      <w:r>
        <w:rPr>
          <w:color w:val="000000"/>
          <w:szCs w:val="28"/>
        </w:rPr>
        <w:t>)</w:t>
      </w:r>
      <w:r>
        <w:rPr>
          <w:color w:val="000000"/>
          <w:szCs w:val="28"/>
        </w:rPr>
        <w:t>受託代辦工商登記：每件在直轄市及市七千元，在縣六千元。</w:t>
      </w:r>
    </w:p>
    <w:p w:rsidR="00B26F99" w:rsidRDefault="00854F63">
      <w:pPr>
        <w:pStyle w:val="Textbody"/>
        <w:wordWrap/>
        <w:spacing w:after="0" w:line="460" w:lineRule="exact"/>
        <w:ind w:left="1077" w:hanging="454"/>
        <w:jc w:val="both"/>
        <w:rPr>
          <w:color w:val="000000"/>
          <w:szCs w:val="28"/>
        </w:rPr>
      </w:pPr>
      <w:r>
        <w:rPr>
          <w:color w:val="000000"/>
          <w:szCs w:val="28"/>
        </w:rPr>
        <w:t>(</w:t>
      </w:r>
      <w:r>
        <w:rPr>
          <w:color w:val="000000"/>
          <w:szCs w:val="28"/>
        </w:rPr>
        <w:t>二</w:t>
      </w:r>
      <w:r>
        <w:rPr>
          <w:color w:val="000000"/>
          <w:szCs w:val="28"/>
        </w:rPr>
        <w:t>)</w:t>
      </w:r>
      <w:r>
        <w:rPr>
          <w:color w:val="000000"/>
          <w:szCs w:val="28"/>
        </w:rPr>
        <w:t>代理申請復查或異議、訴願、行政訴訟及再審：每一程序在直轄市及市四萬五千元，在縣三萬五千元。</w:t>
      </w:r>
    </w:p>
    <w:p w:rsidR="00B26F99" w:rsidRDefault="00854F63">
      <w:pPr>
        <w:pStyle w:val="Textbody"/>
        <w:tabs>
          <w:tab w:val="left" w:pos="1260"/>
        </w:tabs>
        <w:wordWrap/>
        <w:spacing w:after="0" w:line="460" w:lineRule="exact"/>
        <w:ind w:left="1077" w:hanging="454"/>
        <w:jc w:val="both"/>
        <w:rPr>
          <w:color w:val="000000"/>
          <w:szCs w:val="28"/>
        </w:rPr>
      </w:pPr>
      <w:r>
        <w:rPr>
          <w:color w:val="000000"/>
          <w:szCs w:val="28"/>
        </w:rPr>
        <w:t>(</w:t>
      </w:r>
      <w:r>
        <w:rPr>
          <w:color w:val="000000"/>
          <w:szCs w:val="28"/>
        </w:rPr>
        <w:t>三</w:t>
      </w:r>
      <w:r>
        <w:rPr>
          <w:color w:val="000000"/>
          <w:szCs w:val="28"/>
        </w:rPr>
        <w:t>)</w:t>
      </w:r>
      <w:r>
        <w:rPr>
          <w:color w:val="000000"/>
          <w:szCs w:val="28"/>
        </w:rPr>
        <w:t>代理申報遺產稅、贈與稅案件：遺產稅每件在直轄市及市四萬元，在縣三萬五千元；贈與稅每件在直轄市及市二萬元，在縣一萬五千元。</w:t>
      </w:r>
    </w:p>
    <w:p w:rsidR="00B26F99" w:rsidRDefault="00854F63">
      <w:pPr>
        <w:pStyle w:val="Textbody"/>
        <w:tabs>
          <w:tab w:val="left" w:pos="1359"/>
        </w:tabs>
        <w:wordWrap/>
        <w:spacing w:after="0" w:line="460" w:lineRule="exact"/>
        <w:ind w:left="1176" w:hanging="576"/>
        <w:jc w:val="both"/>
        <w:rPr>
          <w:color w:val="000000"/>
          <w:szCs w:val="28"/>
        </w:rPr>
      </w:pPr>
      <w:r>
        <w:rPr>
          <w:color w:val="000000"/>
          <w:szCs w:val="28"/>
        </w:rPr>
        <w:lastRenderedPageBreak/>
        <w:t>(</w:t>
      </w:r>
      <w:r>
        <w:rPr>
          <w:color w:val="000000"/>
          <w:szCs w:val="28"/>
        </w:rPr>
        <w:t>四</w:t>
      </w:r>
      <w:r>
        <w:rPr>
          <w:color w:val="000000"/>
          <w:szCs w:val="28"/>
        </w:rPr>
        <w:t>)</w:t>
      </w:r>
      <w:r>
        <w:rPr>
          <w:color w:val="000000"/>
          <w:szCs w:val="28"/>
        </w:rPr>
        <w:t>本標準未規定之項目，由稽徵機關依查得資料核計。</w:t>
      </w:r>
    </w:p>
    <w:p w:rsidR="00B26F99" w:rsidRDefault="00854F63">
      <w:pPr>
        <w:pStyle w:val="Textbody"/>
        <w:wordWrap/>
        <w:spacing w:after="0" w:line="460" w:lineRule="exact"/>
        <w:ind w:left="567" w:hanging="567"/>
        <w:jc w:val="both"/>
        <w:rPr>
          <w:color w:val="000000"/>
          <w:szCs w:val="28"/>
        </w:rPr>
      </w:pPr>
      <w:r>
        <w:rPr>
          <w:color w:val="000000"/>
          <w:szCs w:val="28"/>
        </w:rPr>
        <w:t>三、建築師：按工程營繕資料記載之工程造價金額百分之四點五計算。但承接政府或公有機構之設計、繪圖、監造之報酬，應分別調查按實計算。</w:t>
      </w:r>
    </w:p>
    <w:p w:rsidR="00B26F99" w:rsidRDefault="00854F63">
      <w:pPr>
        <w:pStyle w:val="Textbody"/>
        <w:wordWrap/>
        <w:spacing w:after="0" w:line="460" w:lineRule="exact"/>
        <w:ind w:left="567" w:hanging="567"/>
        <w:jc w:val="both"/>
        <w:rPr>
          <w:color w:val="000000"/>
          <w:szCs w:val="28"/>
        </w:rPr>
      </w:pPr>
      <w:r>
        <w:rPr>
          <w:color w:val="000000"/>
          <w:szCs w:val="28"/>
        </w:rPr>
        <w:t>四、助產人員（助產師及助產士）：按接生人數每人在直轄市及市二千八百元，在縣二千二百元。但屬全民健康保險由中央健康保險署給付醫療費用者，應依中央健康保險署通報資料計算其收入額。</w:t>
      </w:r>
    </w:p>
    <w:p w:rsidR="00B26F99" w:rsidRDefault="00854F63">
      <w:pPr>
        <w:pStyle w:val="Textbody"/>
        <w:wordWrap/>
        <w:spacing w:after="0" w:line="460" w:lineRule="exact"/>
        <w:jc w:val="both"/>
        <w:rPr>
          <w:color w:val="000000"/>
          <w:szCs w:val="28"/>
        </w:rPr>
      </w:pPr>
      <w:r>
        <w:rPr>
          <w:color w:val="000000"/>
          <w:szCs w:val="28"/>
        </w:rPr>
        <w:t>五、地政士：按承辦案件之</w:t>
      </w:r>
      <w:r>
        <w:rPr>
          <w:color w:val="000000"/>
          <w:szCs w:val="28"/>
        </w:rPr>
        <w:t>性質，每件計算如下：</w:t>
      </w:r>
    </w:p>
    <w:p w:rsidR="00B26F99" w:rsidRDefault="00854F63">
      <w:pPr>
        <w:pStyle w:val="Textbody"/>
        <w:tabs>
          <w:tab w:val="left" w:pos="1260"/>
        </w:tabs>
        <w:wordWrap/>
        <w:spacing w:after="0" w:line="460" w:lineRule="exact"/>
        <w:ind w:left="1077" w:hanging="454"/>
        <w:jc w:val="both"/>
      </w:pPr>
      <w:r>
        <w:t>(</w:t>
      </w:r>
      <w:r>
        <w:t>一</w:t>
      </w:r>
      <w:r>
        <w:t>)</w:t>
      </w:r>
      <w:r>
        <w:t>保存登記：在直轄市及市三千元，在縣二千五百元。</w:t>
      </w:r>
    </w:p>
    <w:p w:rsidR="00B26F99" w:rsidRDefault="00854F63">
      <w:pPr>
        <w:pStyle w:val="Textbody"/>
        <w:tabs>
          <w:tab w:val="left" w:pos="1260"/>
        </w:tabs>
        <w:wordWrap/>
        <w:spacing w:after="0" w:line="460" w:lineRule="exact"/>
        <w:ind w:left="1077" w:hanging="454"/>
        <w:jc w:val="both"/>
      </w:pPr>
      <w:r>
        <w:t>(</w:t>
      </w:r>
      <w:r>
        <w:t>二</w:t>
      </w:r>
      <w:r>
        <w:t>)</w:t>
      </w:r>
      <w:r>
        <w:t>繼承、剩餘財產差額分配、贈與、信託所有權移轉登記：在直轄市及市八千元，在縣六千五百元。</w:t>
      </w:r>
    </w:p>
    <w:p w:rsidR="00B26F99" w:rsidRDefault="00854F63">
      <w:pPr>
        <w:pStyle w:val="Textbody"/>
        <w:tabs>
          <w:tab w:val="left" w:pos="1260"/>
        </w:tabs>
        <w:wordWrap/>
        <w:spacing w:after="0" w:line="460" w:lineRule="exact"/>
        <w:ind w:left="1077" w:hanging="454"/>
        <w:jc w:val="both"/>
      </w:pPr>
      <w:r>
        <w:t>(</w:t>
      </w:r>
      <w:r>
        <w:t>三</w:t>
      </w:r>
      <w:r>
        <w:t>)</w:t>
      </w:r>
      <w:r>
        <w:t>買賣、交換、拍賣、判決、共有物分割等所有權移轉登記：在直轄市及市七千元，在縣五千五百元。</w:t>
      </w:r>
    </w:p>
    <w:p w:rsidR="00B26F99" w:rsidRDefault="00854F63">
      <w:pPr>
        <w:pStyle w:val="Textbody"/>
        <w:tabs>
          <w:tab w:val="left" w:pos="1260"/>
        </w:tabs>
        <w:wordWrap/>
        <w:spacing w:after="0" w:line="460" w:lineRule="exact"/>
        <w:ind w:left="1077" w:hanging="454"/>
        <w:jc w:val="both"/>
      </w:pPr>
      <w:r>
        <w:t>(</w:t>
      </w:r>
      <w:r>
        <w:t>四</w:t>
      </w:r>
      <w:r>
        <w:t>)</w:t>
      </w:r>
      <w:r>
        <w:t>他項權利登記（地上權、抵押權、典權、地役權、永佃權、耕作權之設定移轉登記）：在直轄市及市二千五百元，在縣二千元。</w:t>
      </w:r>
    </w:p>
    <w:p w:rsidR="00B26F99" w:rsidRDefault="00854F63">
      <w:pPr>
        <w:pStyle w:val="Textbody"/>
        <w:tabs>
          <w:tab w:val="left" w:pos="1260"/>
        </w:tabs>
        <w:wordWrap/>
        <w:spacing w:after="0" w:line="460" w:lineRule="exact"/>
        <w:ind w:left="1077" w:hanging="454"/>
        <w:jc w:val="both"/>
      </w:pPr>
      <w:r>
        <w:t>(</w:t>
      </w:r>
      <w:r>
        <w:t>五</w:t>
      </w:r>
      <w:r>
        <w:t>)</w:t>
      </w:r>
      <w:r>
        <w:t>非共有土地分割登記：在直轄市及市二千五百元，在縣二千元。</w:t>
      </w:r>
    </w:p>
    <w:p w:rsidR="00B26F99" w:rsidRDefault="00854F63">
      <w:pPr>
        <w:pStyle w:val="Textbody"/>
        <w:tabs>
          <w:tab w:val="left" w:pos="1260"/>
        </w:tabs>
        <w:wordWrap/>
        <w:spacing w:after="0" w:line="460" w:lineRule="exact"/>
        <w:ind w:left="1077" w:hanging="454"/>
        <w:jc w:val="both"/>
      </w:pPr>
      <w:r>
        <w:t>(</w:t>
      </w:r>
      <w:r>
        <w:t>六</w:t>
      </w:r>
      <w:r>
        <w:t>)</w:t>
      </w:r>
      <w:r>
        <w:t>塗銷、消滅、標示變更、姓名住所及管理人變更、權利內容變更</w:t>
      </w:r>
      <w:r>
        <w:t>、限制、更正、權利書狀補（換）發登記及其他本標準未規定項目：在直轄市及市一千五百元，在縣一千二百元。</w:t>
      </w:r>
    </w:p>
    <w:p w:rsidR="00B26F99" w:rsidRDefault="00854F63">
      <w:pPr>
        <w:pStyle w:val="Textbody"/>
        <w:wordWrap/>
        <w:spacing w:after="0" w:line="460" w:lineRule="exact"/>
        <w:ind w:left="560" w:hanging="525"/>
        <w:jc w:val="both"/>
        <w:rPr>
          <w:color w:val="000000"/>
          <w:szCs w:val="28"/>
        </w:rPr>
      </w:pPr>
      <w:r>
        <w:rPr>
          <w:color w:val="000000"/>
          <w:szCs w:val="28"/>
        </w:rPr>
        <w:t>六、著作人：依查得資料核計。</w:t>
      </w:r>
    </w:p>
    <w:p w:rsidR="00B26F99" w:rsidRDefault="00854F63">
      <w:pPr>
        <w:pStyle w:val="Textbody"/>
        <w:wordWrap/>
        <w:spacing w:after="0" w:line="460" w:lineRule="exact"/>
        <w:ind w:left="560" w:hanging="525"/>
        <w:jc w:val="both"/>
        <w:rPr>
          <w:color w:val="000000"/>
          <w:szCs w:val="28"/>
        </w:rPr>
      </w:pPr>
      <w:r>
        <w:rPr>
          <w:color w:val="000000"/>
          <w:szCs w:val="28"/>
        </w:rPr>
        <w:t>七、經紀人：依查得資料核計。</w:t>
      </w:r>
    </w:p>
    <w:p w:rsidR="00B26F99" w:rsidRDefault="00854F63">
      <w:pPr>
        <w:pStyle w:val="Textbody"/>
        <w:wordWrap/>
        <w:spacing w:after="0" w:line="460" w:lineRule="exact"/>
        <w:ind w:left="560" w:hanging="525"/>
        <w:jc w:val="both"/>
        <w:rPr>
          <w:color w:val="000000"/>
          <w:szCs w:val="28"/>
        </w:rPr>
      </w:pPr>
      <w:r>
        <w:rPr>
          <w:color w:val="000000"/>
          <w:szCs w:val="28"/>
        </w:rPr>
        <w:t>八、藥師：依查得資料核計。</w:t>
      </w:r>
    </w:p>
    <w:p w:rsidR="00B26F99" w:rsidRDefault="00854F63">
      <w:pPr>
        <w:pStyle w:val="Textbody"/>
        <w:wordWrap/>
        <w:spacing w:after="0" w:line="460" w:lineRule="exact"/>
        <w:ind w:left="560" w:hanging="525"/>
        <w:jc w:val="both"/>
        <w:rPr>
          <w:color w:val="000000"/>
          <w:szCs w:val="28"/>
        </w:rPr>
      </w:pPr>
      <w:r>
        <w:rPr>
          <w:color w:val="000000"/>
          <w:szCs w:val="28"/>
        </w:rPr>
        <w:t>九、中醫師：依查得資料核計。</w:t>
      </w:r>
    </w:p>
    <w:p w:rsidR="00B26F99" w:rsidRDefault="00854F63">
      <w:pPr>
        <w:pStyle w:val="Textbody"/>
        <w:wordWrap/>
        <w:spacing w:after="0" w:line="460" w:lineRule="exact"/>
        <w:ind w:left="560" w:hanging="525"/>
        <w:jc w:val="both"/>
        <w:rPr>
          <w:color w:val="000000"/>
          <w:szCs w:val="28"/>
        </w:rPr>
      </w:pPr>
      <w:r>
        <w:rPr>
          <w:color w:val="000000"/>
          <w:szCs w:val="28"/>
        </w:rPr>
        <w:t>十、西醫師：依查得資料核計。</w:t>
      </w:r>
    </w:p>
    <w:p w:rsidR="00B26F99" w:rsidRDefault="00854F63">
      <w:pPr>
        <w:pStyle w:val="Textbody"/>
        <w:wordWrap/>
        <w:spacing w:after="0" w:line="460" w:lineRule="exact"/>
        <w:jc w:val="both"/>
        <w:rPr>
          <w:color w:val="000000"/>
          <w:szCs w:val="28"/>
        </w:rPr>
      </w:pPr>
      <w:r>
        <w:rPr>
          <w:color w:val="000000"/>
          <w:szCs w:val="28"/>
        </w:rPr>
        <w:t>十一、獸醫師：依查得資料核計。</w:t>
      </w:r>
    </w:p>
    <w:p w:rsidR="00B26F99" w:rsidRDefault="00854F63">
      <w:pPr>
        <w:pStyle w:val="Textbody"/>
        <w:wordWrap/>
        <w:spacing w:after="0" w:line="460" w:lineRule="exact"/>
        <w:jc w:val="both"/>
        <w:rPr>
          <w:color w:val="000000"/>
          <w:szCs w:val="28"/>
        </w:rPr>
      </w:pPr>
      <w:r>
        <w:rPr>
          <w:color w:val="000000"/>
          <w:szCs w:val="28"/>
        </w:rPr>
        <w:t>十二、醫事檢驗師（生）：依查得資料核計。</w:t>
      </w:r>
    </w:p>
    <w:p w:rsidR="00B26F99" w:rsidRDefault="00854F63">
      <w:pPr>
        <w:pStyle w:val="Textbody"/>
        <w:wordWrap/>
        <w:spacing w:after="0" w:line="460" w:lineRule="exact"/>
        <w:jc w:val="both"/>
        <w:rPr>
          <w:color w:val="000000"/>
          <w:szCs w:val="28"/>
        </w:rPr>
      </w:pPr>
      <w:r>
        <w:rPr>
          <w:color w:val="000000"/>
          <w:szCs w:val="28"/>
        </w:rPr>
        <w:t>十三、工匠：依查得資料核計。</w:t>
      </w:r>
    </w:p>
    <w:p w:rsidR="00B26F99" w:rsidRDefault="00854F63">
      <w:pPr>
        <w:pStyle w:val="Textbody"/>
        <w:wordWrap/>
        <w:spacing w:after="0" w:line="460" w:lineRule="exact"/>
        <w:jc w:val="both"/>
        <w:rPr>
          <w:color w:val="000000"/>
          <w:szCs w:val="28"/>
        </w:rPr>
      </w:pPr>
      <w:r>
        <w:rPr>
          <w:color w:val="000000"/>
          <w:szCs w:val="28"/>
        </w:rPr>
        <w:t>十四、美術工藝家：依查得資料核計。</w:t>
      </w:r>
    </w:p>
    <w:p w:rsidR="00B26F99" w:rsidRDefault="00854F63">
      <w:pPr>
        <w:pStyle w:val="Textbody"/>
        <w:wordWrap/>
        <w:spacing w:after="0" w:line="460" w:lineRule="exact"/>
        <w:jc w:val="both"/>
        <w:rPr>
          <w:color w:val="000000"/>
          <w:szCs w:val="28"/>
        </w:rPr>
      </w:pPr>
      <w:r>
        <w:rPr>
          <w:color w:val="000000"/>
          <w:szCs w:val="28"/>
        </w:rPr>
        <w:lastRenderedPageBreak/>
        <w:t>十五、表演人：依查得資料核計。</w:t>
      </w:r>
    </w:p>
    <w:p w:rsidR="00B26F99" w:rsidRDefault="00854F63">
      <w:pPr>
        <w:pStyle w:val="Textbody"/>
        <w:wordWrap/>
        <w:spacing w:after="0" w:line="460" w:lineRule="exact"/>
        <w:jc w:val="both"/>
        <w:rPr>
          <w:color w:val="000000"/>
          <w:szCs w:val="28"/>
        </w:rPr>
      </w:pPr>
      <w:r>
        <w:rPr>
          <w:color w:val="000000"/>
          <w:szCs w:val="28"/>
        </w:rPr>
        <w:t>十六、節目製作人：依查得資料核計。</w:t>
      </w:r>
    </w:p>
    <w:p w:rsidR="00B26F99" w:rsidRDefault="00854F63">
      <w:pPr>
        <w:pStyle w:val="Textbody"/>
        <w:wordWrap/>
        <w:spacing w:after="0" w:line="460" w:lineRule="exact"/>
        <w:jc w:val="both"/>
        <w:rPr>
          <w:color w:val="000000"/>
          <w:szCs w:val="28"/>
        </w:rPr>
      </w:pPr>
      <w:r>
        <w:rPr>
          <w:color w:val="000000"/>
          <w:szCs w:val="28"/>
        </w:rPr>
        <w:t>十七、命理卜卦：依查得資料核計。</w:t>
      </w:r>
    </w:p>
    <w:p w:rsidR="00B26F99" w:rsidRDefault="00854F63">
      <w:pPr>
        <w:pStyle w:val="Textbody"/>
        <w:wordWrap/>
        <w:spacing w:after="0" w:line="460" w:lineRule="exact"/>
        <w:jc w:val="both"/>
        <w:rPr>
          <w:color w:val="000000"/>
          <w:szCs w:val="28"/>
        </w:rPr>
      </w:pPr>
      <w:r>
        <w:rPr>
          <w:color w:val="000000"/>
          <w:szCs w:val="28"/>
        </w:rPr>
        <w:t>十八、書畫家、版畫家：依查得資料核計。</w:t>
      </w:r>
    </w:p>
    <w:p w:rsidR="00B26F99" w:rsidRDefault="00854F63">
      <w:pPr>
        <w:pStyle w:val="Textbody"/>
        <w:wordWrap/>
        <w:spacing w:after="0" w:line="460" w:lineRule="exact"/>
        <w:jc w:val="both"/>
        <w:rPr>
          <w:color w:val="000000"/>
          <w:szCs w:val="28"/>
        </w:rPr>
      </w:pPr>
      <w:r>
        <w:rPr>
          <w:color w:val="000000"/>
          <w:szCs w:val="28"/>
        </w:rPr>
        <w:t>十九、技師：依查得資料核計。</w:t>
      </w:r>
    </w:p>
    <w:p w:rsidR="00B26F99" w:rsidRDefault="00854F63">
      <w:pPr>
        <w:pStyle w:val="Textbody"/>
        <w:wordWrap/>
        <w:spacing w:after="0" w:line="460" w:lineRule="exact"/>
        <w:jc w:val="both"/>
        <w:rPr>
          <w:color w:val="000000"/>
          <w:szCs w:val="28"/>
        </w:rPr>
      </w:pPr>
      <w:r>
        <w:rPr>
          <w:color w:val="000000"/>
          <w:szCs w:val="28"/>
        </w:rPr>
        <w:t>二十、引水人：依查得資料核計。</w:t>
      </w:r>
    </w:p>
    <w:p w:rsidR="00B26F99" w:rsidRDefault="00854F63">
      <w:pPr>
        <w:pStyle w:val="Textbody"/>
        <w:wordWrap/>
        <w:spacing w:after="0" w:line="460" w:lineRule="exact"/>
        <w:jc w:val="both"/>
        <w:rPr>
          <w:color w:val="000000"/>
          <w:szCs w:val="28"/>
        </w:rPr>
      </w:pPr>
      <w:r>
        <w:rPr>
          <w:color w:val="000000"/>
          <w:szCs w:val="28"/>
        </w:rPr>
        <w:t>二十一、程式設計師：依查得資料核計。</w:t>
      </w:r>
    </w:p>
    <w:p w:rsidR="00B26F99" w:rsidRDefault="00854F63">
      <w:pPr>
        <w:pStyle w:val="Textbody"/>
        <w:wordWrap/>
        <w:spacing w:after="0" w:line="460" w:lineRule="exact"/>
        <w:jc w:val="both"/>
        <w:rPr>
          <w:color w:val="000000"/>
          <w:szCs w:val="28"/>
        </w:rPr>
      </w:pPr>
      <w:r>
        <w:rPr>
          <w:color w:val="000000"/>
          <w:szCs w:val="28"/>
        </w:rPr>
        <w:t>二十二、精算師：依查得資料核計。</w:t>
      </w:r>
    </w:p>
    <w:p w:rsidR="00B26F99" w:rsidRDefault="00854F63">
      <w:pPr>
        <w:pStyle w:val="Textbody"/>
        <w:wordWrap/>
        <w:spacing w:after="0" w:line="460" w:lineRule="exact"/>
        <w:jc w:val="both"/>
        <w:rPr>
          <w:color w:val="000000"/>
          <w:szCs w:val="28"/>
        </w:rPr>
      </w:pPr>
      <w:r>
        <w:rPr>
          <w:color w:val="000000"/>
          <w:szCs w:val="28"/>
        </w:rPr>
        <w:t>二十三、商標代理人：</w:t>
      </w:r>
    </w:p>
    <w:p w:rsidR="00B26F99" w:rsidRDefault="00854F63">
      <w:pPr>
        <w:pStyle w:val="Textbody"/>
        <w:tabs>
          <w:tab w:val="left" w:pos="1260"/>
        </w:tabs>
        <w:wordWrap/>
        <w:spacing w:after="0" w:line="460" w:lineRule="exact"/>
        <w:ind w:left="1077" w:hanging="454"/>
        <w:jc w:val="both"/>
      </w:pPr>
      <w:r>
        <w:t>(</w:t>
      </w:r>
      <w:r>
        <w:t>一</w:t>
      </w:r>
      <w:r>
        <w:t>)</w:t>
      </w:r>
      <w:r>
        <w:t>向國內註冊商標（包括正商標、防護商標、聯合商標、服務標章、聯合服務標章、延展、移轉、商標專用權授權使用等）：每件五千八百元。</w:t>
      </w:r>
    </w:p>
    <w:p w:rsidR="00B26F99" w:rsidRDefault="00854F63">
      <w:pPr>
        <w:pStyle w:val="Textbody"/>
        <w:tabs>
          <w:tab w:val="left" w:pos="1260"/>
        </w:tabs>
        <w:wordWrap/>
        <w:spacing w:after="0" w:line="460" w:lineRule="exact"/>
        <w:ind w:left="1077" w:hanging="454"/>
        <w:jc w:val="both"/>
      </w:pPr>
      <w:r>
        <w:t>(</w:t>
      </w:r>
      <w:r>
        <w:t>二</w:t>
      </w:r>
      <w:r>
        <w:t>)</w:t>
      </w:r>
      <w:r>
        <w:t>向國外註冊商標：每件一萬三千元。</w:t>
      </w:r>
    </w:p>
    <w:p w:rsidR="00B26F99" w:rsidRDefault="00854F63">
      <w:pPr>
        <w:pStyle w:val="Textbody"/>
        <w:tabs>
          <w:tab w:val="left" w:pos="1260"/>
        </w:tabs>
        <w:wordWrap/>
        <w:spacing w:after="0" w:line="460" w:lineRule="exact"/>
        <w:ind w:left="1077" w:hanging="454"/>
        <w:jc w:val="both"/>
      </w:pPr>
      <w:r>
        <w:t>(</w:t>
      </w:r>
      <w:r>
        <w:t>三</w:t>
      </w:r>
      <w:r>
        <w:t>)</w:t>
      </w:r>
      <w:r>
        <w:t>商標異議、評定、再評定、答辯、訴願、行政訴訟及再審：每一程序三萬四千元。</w:t>
      </w:r>
    </w:p>
    <w:p w:rsidR="00B26F99" w:rsidRDefault="00854F63">
      <w:pPr>
        <w:pStyle w:val="Textbody"/>
        <w:wordWrap/>
        <w:spacing w:after="0" w:line="460" w:lineRule="exact"/>
        <w:jc w:val="both"/>
        <w:rPr>
          <w:color w:val="000000"/>
          <w:szCs w:val="28"/>
        </w:rPr>
      </w:pPr>
      <w:r>
        <w:rPr>
          <w:color w:val="000000"/>
          <w:szCs w:val="28"/>
        </w:rPr>
        <w:t>二十四、專利師及專利代理人：</w:t>
      </w:r>
    </w:p>
    <w:p w:rsidR="00B26F99" w:rsidRDefault="00854F63">
      <w:pPr>
        <w:pStyle w:val="Textbody"/>
        <w:tabs>
          <w:tab w:val="left" w:pos="1260"/>
        </w:tabs>
        <w:wordWrap/>
        <w:spacing w:after="0" w:line="460" w:lineRule="exact"/>
        <w:ind w:left="1077" w:hanging="454"/>
        <w:jc w:val="both"/>
      </w:pPr>
      <w:r>
        <w:t>(</w:t>
      </w:r>
      <w:r>
        <w:t>一</w:t>
      </w:r>
      <w:r>
        <w:t>)</w:t>
      </w:r>
      <w:r>
        <w:t>發明專利申請（包括發明、申請</w:t>
      </w:r>
      <w:r>
        <w:t>權讓與、專利權讓與、專利權授權等）：每件三萬四千元。</w:t>
      </w:r>
    </w:p>
    <w:p w:rsidR="00B26F99" w:rsidRDefault="00854F63">
      <w:pPr>
        <w:pStyle w:val="Textbody"/>
        <w:tabs>
          <w:tab w:val="left" w:pos="1260"/>
        </w:tabs>
        <w:wordWrap/>
        <w:spacing w:after="0" w:line="460" w:lineRule="exact"/>
        <w:ind w:left="1077" w:hanging="454"/>
        <w:jc w:val="both"/>
      </w:pPr>
      <w:r>
        <w:t>(</w:t>
      </w:r>
      <w:r>
        <w:t>二</w:t>
      </w:r>
      <w:r>
        <w:t>)</w:t>
      </w:r>
      <w:r>
        <w:t>新型專利申請（包括新型、申請權讓與、專利權讓與、專利權授權等）：每件二萬元。</w:t>
      </w:r>
    </w:p>
    <w:p w:rsidR="00B26F99" w:rsidRDefault="00854F63">
      <w:pPr>
        <w:pStyle w:val="Textbody"/>
        <w:tabs>
          <w:tab w:val="left" w:pos="1260"/>
        </w:tabs>
        <w:wordWrap/>
        <w:spacing w:after="0" w:line="460" w:lineRule="exact"/>
        <w:ind w:left="1077" w:hanging="454"/>
        <w:jc w:val="both"/>
      </w:pPr>
      <w:r>
        <w:t>(</w:t>
      </w:r>
      <w:r>
        <w:t>三</w:t>
      </w:r>
      <w:r>
        <w:t>)</w:t>
      </w:r>
      <w:r>
        <w:t>設計專利申請（包括設計、衍生設計、申請權讓與、專利權讓與、專利權授權等）：每件一萬五千元。</w:t>
      </w:r>
    </w:p>
    <w:p w:rsidR="00B26F99" w:rsidRDefault="00854F63">
      <w:pPr>
        <w:pStyle w:val="Textbody"/>
        <w:tabs>
          <w:tab w:val="left" w:pos="1260"/>
        </w:tabs>
        <w:wordWrap/>
        <w:spacing w:after="0" w:line="460" w:lineRule="exact"/>
        <w:ind w:left="1077" w:hanging="454"/>
        <w:jc w:val="both"/>
      </w:pPr>
      <w:r>
        <w:t>(</w:t>
      </w:r>
      <w:r>
        <w:t>四</w:t>
      </w:r>
      <w:r>
        <w:t>)</w:t>
      </w:r>
      <w:r>
        <w:t>向國外申請專利：每件五萬八千元。</w:t>
      </w:r>
    </w:p>
    <w:p w:rsidR="00B26F99" w:rsidRDefault="00854F63">
      <w:pPr>
        <w:pStyle w:val="Textbody"/>
        <w:tabs>
          <w:tab w:val="left" w:pos="1260"/>
        </w:tabs>
        <w:wordWrap/>
        <w:spacing w:after="0" w:line="460" w:lineRule="exact"/>
        <w:ind w:left="1077" w:hanging="454"/>
        <w:jc w:val="both"/>
      </w:pPr>
      <w:r>
        <w:t>(</w:t>
      </w:r>
      <w:r>
        <w:t>五</w:t>
      </w:r>
      <w:r>
        <w:t>)</w:t>
      </w:r>
      <w:r>
        <w:t>專利再審查、舉發、答辯、訴願、行政訴訟及再審：每一程序八萬三千元。</w:t>
      </w:r>
    </w:p>
    <w:p w:rsidR="00B26F99" w:rsidRDefault="00854F63">
      <w:pPr>
        <w:pStyle w:val="Textbody"/>
        <w:wordWrap/>
        <w:spacing w:after="0" w:line="460" w:lineRule="exact"/>
        <w:jc w:val="both"/>
        <w:rPr>
          <w:color w:val="000000"/>
          <w:szCs w:val="28"/>
        </w:rPr>
      </w:pPr>
      <w:r>
        <w:rPr>
          <w:color w:val="000000"/>
          <w:szCs w:val="28"/>
        </w:rPr>
        <w:t>二十五、仲裁人：依查得資料核計。</w:t>
      </w:r>
    </w:p>
    <w:p w:rsidR="00B26F99" w:rsidRDefault="00854F63">
      <w:pPr>
        <w:pStyle w:val="Textbody"/>
        <w:wordWrap/>
        <w:spacing w:after="0" w:line="460" w:lineRule="exact"/>
        <w:ind w:left="1134" w:hanging="1134"/>
        <w:jc w:val="both"/>
      </w:pPr>
      <w:r>
        <w:rPr>
          <w:color w:val="000000"/>
          <w:szCs w:val="28"/>
        </w:rPr>
        <w:t>二十六、記帳士、記帳及報稅代理人：適用會計師收入標準計算。但代為記帳者，不論書面審核或查帳案件，每家每月在直轄市及市二千五百元，在縣二千元。</w:t>
      </w:r>
    </w:p>
    <w:p w:rsidR="00B26F99" w:rsidRDefault="00854F63">
      <w:pPr>
        <w:pStyle w:val="Textbody"/>
        <w:wordWrap/>
        <w:spacing w:after="0" w:line="460" w:lineRule="exact"/>
        <w:ind w:left="1134" w:hanging="1134"/>
        <w:jc w:val="both"/>
      </w:pPr>
      <w:r>
        <w:rPr>
          <w:color w:val="000000"/>
          <w:szCs w:val="28"/>
        </w:rPr>
        <w:t>二十七、未具會計師、記帳士、記帳及報稅代理人資格，辦理工商登記</w:t>
      </w:r>
      <w:r>
        <w:rPr>
          <w:color w:val="000000"/>
          <w:szCs w:val="28"/>
        </w:rPr>
        <w:lastRenderedPageBreak/>
        <w:t>等業務或代為記帳者：適用會計師收入標準計算。但代為記帳者，不論書面審核或查帳案件，每家每月在直轄市及市二千五百元，在縣二千元。</w:t>
      </w:r>
    </w:p>
    <w:p w:rsidR="00B26F99" w:rsidRDefault="00854F63">
      <w:pPr>
        <w:pStyle w:val="Textbody"/>
        <w:wordWrap/>
        <w:spacing w:after="0" w:line="460" w:lineRule="exact"/>
        <w:ind w:left="1134" w:hanging="1134"/>
        <w:jc w:val="both"/>
      </w:pPr>
      <w:r>
        <w:rPr>
          <w:color w:val="000000"/>
          <w:szCs w:val="28"/>
        </w:rPr>
        <w:t>二十八、未具律師資格，辦理訴訟代理人業務者：適用律師收入標準</w:t>
      </w:r>
      <w:r>
        <w:rPr>
          <w:color w:val="000000"/>
          <w:szCs w:val="28"/>
        </w:rPr>
        <w:t>計算。但僅代撰書狀者，每件在直轄市及市五千元，在縣四</w:t>
      </w:r>
      <w:r>
        <w:rPr>
          <w:color w:val="000000"/>
          <w:szCs w:val="28"/>
        </w:rPr>
        <w:t>千五百元。</w:t>
      </w:r>
    </w:p>
    <w:p w:rsidR="00B26F99" w:rsidRDefault="00854F63">
      <w:pPr>
        <w:pStyle w:val="Textbody"/>
        <w:wordWrap/>
        <w:spacing w:after="0" w:line="460" w:lineRule="exact"/>
        <w:ind w:left="1134" w:hanging="1134"/>
        <w:jc w:val="both"/>
        <w:rPr>
          <w:color w:val="000000"/>
          <w:szCs w:val="28"/>
        </w:rPr>
      </w:pPr>
      <w:r>
        <w:rPr>
          <w:color w:val="000000"/>
          <w:szCs w:val="28"/>
        </w:rPr>
        <w:t>二十九、未具建築師資格，辦理建築規劃設計及監造等業務者：</w:t>
      </w:r>
      <w:r>
        <w:rPr>
          <w:color w:val="000000"/>
          <w:szCs w:val="28"/>
        </w:rPr>
        <w:t>適用建築師收入標準計算。</w:t>
      </w:r>
    </w:p>
    <w:p w:rsidR="00B26F99" w:rsidRDefault="00854F63">
      <w:pPr>
        <w:pStyle w:val="Textbody"/>
        <w:wordWrap/>
        <w:spacing w:after="0" w:line="460" w:lineRule="exact"/>
        <w:ind w:left="907" w:hanging="907"/>
        <w:jc w:val="both"/>
        <w:rPr>
          <w:color w:val="000000"/>
          <w:szCs w:val="28"/>
        </w:rPr>
      </w:pPr>
      <w:r>
        <w:rPr>
          <w:color w:val="000000"/>
          <w:szCs w:val="28"/>
        </w:rPr>
        <w:t>三十、未具地政士資格，辦理土地登記等業務者：適用地政士收入標準計算。</w:t>
      </w:r>
    </w:p>
    <w:p w:rsidR="00B26F99" w:rsidRDefault="00854F63">
      <w:pPr>
        <w:pStyle w:val="Textbody"/>
        <w:wordWrap/>
        <w:spacing w:after="0" w:line="460" w:lineRule="exact"/>
        <w:ind w:left="1134" w:hanging="1134"/>
        <w:jc w:val="both"/>
        <w:rPr>
          <w:color w:val="000000"/>
          <w:szCs w:val="28"/>
        </w:rPr>
      </w:pPr>
      <w:r>
        <w:rPr>
          <w:color w:val="000000"/>
          <w:szCs w:val="28"/>
        </w:rPr>
        <w:t>三十一、受大陸地區人民委託辦理繼承、公法給付或其他事務者：每件在直轄市及市五千元，在縣四千五百元。</w:t>
      </w:r>
    </w:p>
    <w:p w:rsidR="00B26F99" w:rsidRDefault="00854F63">
      <w:pPr>
        <w:pStyle w:val="Textbody"/>
        <w:wordWrap/>
        <w:spacing w:after="0" w:line="460" w:lineRule="exact"/>
        <w:ind w:left="525" w:hanging="525"/>
        <w:jc w:val="both"/>
        <w:rPr>
          <w:color w:val="000000"/>
          <w:szCs w:val="28"/>
        </w:rPr>
      </w:pPr>
      <w:r>
        <w:rPr>
          <w:color w:val="000000"/>
          <w:szCs w:val="28"/>
        </w:rPr>
        <w:t>三十二、公共安全檢查人員：依查得資料核計。</w:t>
      </w:r>
    </w:p>
    <w:p w:rsidR="00B26F99" w:rsidRDefault="00854F63">
      <w:pPr>
        <w:pStyle w:val="Textbody"/>
        <w:wordWrap/>
        <w:spacing w:after="0" w:line="460" w:lineRule="exact"/>
        <w:ind w:left="525" w:hanging="525"/>
        <w:jc w:val="both"/>
        <w:rPr>
          <w:color w:val="000000"/>
          <w:szCs w:val="28"/>
        </w:rPr>
      </w:pPr>
      <w:r>
        <w:rPr>
          <w:color w:val="000000"/>
          <w:szCs w:val="28"/>
        </w:rPr>
        <w:t>三十三、依公證法規定之民間公證人：依公證法第五章規定標準核計。</w:t>
      </w:r>
    </w:p>
    <w:p w:rsidR="00B26F99" w:rsidRDefault="00854F63">
      <w:pPr>
        <w:pStyle w:val="Textbody"/>
        <w:wordWrap/>
        <w:spacing w:after="0" w:line="460" w:lineRule="exact"/>
        <w:ind w:left="525" w:hanging="525"/>
        <w:jc w:val="both"/>
        <w:rPr>
          <w:color w:val="000000"/>
          <w:szCs w:val="28"/>
        </w:rPr>
      </w:pPr>
      <w:r>
        <w:rPr>
          <w:color w:val="000000"/>
          <w:szCs w:val="28"/>
        </w:rPr>
        <w:t>三十四、不動產估價師：依查得資料核計。</w:t>
      </w:r>
    </w:p>
    <w:p w:rsidR="00B26F99" w:rsidRDefault="00854F63">
      <w:pPr>
        <w:pStyle w:val="Textbody"/>
        <w:wordWrap/>
        <w:spacing w:after="0" w:line="460" w:lineRule="exact"/>
        <w:ind w:left="525" w:hanging="525"/>
        <w:jc w:val="both"/>
        <w:rPr>
          <w:color w:val="000000"/>
          <w:szCs w:val="28"/>
        </w:rPr>
      </w:pPr>
      <w:r>
        <w:rPr>
          <w:color w:val="000000"/>
          <w:szCs w:val="28"/>
        </w:rPr>
        <w:t>三十五、物理治療師：依查得資料核計。</w:t>
      </w:r>
    </w:p>
    <w:p w:rsidR="00B26F99" w:rsidRDefault="00854F63">
      <w:pPr>
        <w:pStyle w:val="Textbody"/>
        <w:wordWrap/>
        <w:spacing w:after="0" w:line="460" w:lineRule="exact"/>
        <w:ind w:left="525" w:hanging="525"/>
        <w:jc w:val="both"/>
        <w:rPr>
          <w:color w:val="000000"/>
          <w:szCs w:val="28"/>
        </w:rPr>
      </w:pPr>
      <w:r>
        <w:rPr>
          <w:color w:val="000000"/>
          <w:szCs w:val="28"/>
        </w:rPr>
        <w:t>三十六、職能治療師：依查得資料核計。</w:t>
      </w:r>
    </w:p>
    <w:p w:rsidR="00B26F99" w:rsidRDefault="00854F63">
      <w:pPr>
        <w:pStyle w:val="Textbody"/>
        <w:wordWrap/>
        <w:spacing w:after="0" w:line="460" w:lineRule="exact"/>
        <w:jc w:val="both"/>
        <w:rPr>
          <w:color w:val="000000"/>
          <w:szCs w:val="28"/>
        </w:rPr>
      </w:pPr>
      <w:r>
        <w:rPr>
          <w:color w:val="000000"/>
          <w:szCs w:val="28"/>
        </w:rPr>
        <w:t>三十七、營養師：依查得資料核計。</w:t>
      </w:r>
    </w:p>
    <w:p w:rsidR="00B26F99" w:rsidRDefault="00854F63">
      <w:pPr>
        <w:pStyle w:val="Textbody"/>
        <w:wordWrap/>
        <w:spacing w:after="0" w:line="460" w:lineRule="exact"/>
        <w:jc w:val="both"/>
        <w:rPr>
          <w:color w:val="000000"/>
          <w:szCs w:val="28"/>
        </w:rPr>
      </w:pPr>
      <w:r>
        <w:rPr>
          <w:color w:val="000000"/>
          <w:szCs w:val="28"/>
        </w:rPr>
        <w:t>三十八、心理師：依查得資料核計。</w:t>
      </w:r>
    </w:p>
    <w:p w:rsidR="00B26F99" w:rsidRDefault="00854F63">
      <w:pPr>
        <w:pStyle w:val="Textbody"/>
        <w:wordWrap/>
        <w:spacing w:after="0" w:line="460" w:lineRule="exact"/>
        <w:ind w:left="1134" w:hanging="1134"/>
        <w:jc w:val="both"/>
        <w:rPr>
          <w:color w:val="000000"/>
          <w:szCs w:val="28"/>
        </w:rPr>
      </w:pPr>
      <w:r>
        <w:rPr>
          <w:color w:val="000000"/>
          <w:szCs w:val="28"/>
        </w:rPr>
        <w:t>三十九、受委託代辦國有非</w:t>
      </w:r>
      <w:r>
        <w:rPr>
          <w:color w:val="000000"/>
          <w:szCs w:val="28"/>
        </w:rPr>
        <w:t>公用不動產之承租、續租、過戶及繼承等申請者：每件在直轄市及市一千五百元，在縣一千二百元。</w:t>
      </w:r>
    </w:p>
    <w:p w:rsidR="00B26F99" w:rsidRDefault="00854F63">
      <w:pPr>
        <w:pStyle w:val="Textbody"/>
        <w:wordWrap/>
        <w:spacing w:after="0" w:line="460" w:lineRule="exact"/>
        <w:jc w:val="both"/>
        <w:rPr>
          <w:color w:val="000000"/>
          <w:szCs w:val="28"/>
        </w:rPr>
      </w:pPr>
      <w:r>
        <w:rPr>
          <w:color w:val="000000"/>
          <w:szCs w:val="28"/>
        </w:rPr>
        <w:t>四十、牙體技術師（生）：依查得資料核計。</w:t>
      </w:r>
    </w:p>
    <w:p w:rsidR="00B26F99" w:rsidRDefault="00854F63">
      <w:pPr>
        <w:pStyle w:val="Textbody"/>
        <w:wordWrap/>
        <w:spacing w:after="0" w:line="460" w:lineRule="exact"/>
        <w:jc w:val="both"/>
        <w:rPr>
          <w:color w:val="000000"/>
          <w:szCs w:val="28"/>
        </w:rPr>
      </w:pPr>
      <w:r>
        <w:rPr>
          <w:color w:val="000000"/>
          <w:szCs w:val="28"/>
        </w:rPr>
        <w:t>四十一、語言治療師：依查得資料核計。</w:t>
      </w:r>
    </w:p>
    <w:p w:rsidR="00B26F99" w:rsidRDefault="00854F63">
      <w:pPr>
        <w:pStyle w:val="Textbody"/>
        <w:wordWrap/>
        <w:spacing w:after="0" w:line="460" w:lineRule="exact"/>
        <w:jc w:val="both"/>
        <w:rPr>
          <w:color w:val="000000"/>
          <w:szCs w:val="28"/>
        </w:rPr>
      </w:pPr>
      <w:r>
        <w:rPr>
          <w:color w:val="000000"/>
          <w:szCs w:val="28"/>
        </w:rPr>
        <w:t>附註：</w:t>
      </w:r>
    </w:p>
    <w:p w:rsidR="00B26F99" w:rsidRDefault="00854F63">
      <w:pPr>
        <w:pStyle w:val="Textbody"/>
        <w:wordWrap/>
        <w:spacing w:after="0" w:line="460" w:lineRule="exact"/>
        <w:ind w:left="567" w:hanging="567"/>
        <w:jc w:val="both"/>
        <w:rPr>
          <w:color w:val="000000"/>
          <w:szCs w:val="28"/>
        </w:rPr>
      </w:pPr>
      <w:r>
        <w:rPr>
          <w:color w:val="000000"/>
          <w:szCs w:val="28"/>
        </w:rPr>
        <w:t>一、自營利事業、機關、團體、學校等取得之收入，得依扣繳資料核計。</w:t>
      </w:r>
    </w:p>
    <w:p w:rsidR="00B26F99" w:rsidRDefault="00854F63">
      <w:pPr>
        <w:pStyle w:val="Textbody"/>
        <w:wordWrap/>
        <w:spacing w:after="0" w:line="460" w:lineRule="exact"/>
        <w:ind w:left="567" w:hanging="567"/>
        <w:jc w:val="both"/>
        <w:rPr>
          <w:color w:val="000000"/>
          <w:szCs w:val="28"/>
        </w:rPr>
      </w:pPr>
      <w:r>
        <w:rPr>
          <w:color w:val="000000"/>
          <w:szCs w:val="28"/>
        </w:rPr>
        <w:t>二、在縣偏僻地區者，除收入標準依查得資料核計者外，收入標準按縣之八折計算，至偏僻地區範圍，由稽徵機關依查得資料認定。執行業務者辦理案件所屬地區在九十九年十二月二十五日改制前之臺北縣、臺中縣、臺南縣、高雄縣及一百零三年十二月二十五日改制前</w:t>
      </w:r>
      <w:r>
        <w:rPr>
          <w:color w:val="000000"/>
          <w:szCs w:val="28"/>
        </w:rPr>
        <w:lastRenderedPageBreak/>
        <w:t>之桃園縣者，其收入標準仍按縣計算。</w:t>
      </w:r>
    </w:p>
    <w:p w:rsidR="00B26F99" w:rsidRDefault="00854F63">
      <w:pPr>
        <w:pStyle w:val="Textbody"/>
        <w:wordWrap/>
        <w:spacing w:after="0" w:line="460" w:lineRule="exact"/>
        <w:ind w:left="525" w:hanging="525"/>
        <w:jc w:val="both"/>
        <w:rPr>
          <w:color w:val="000000"/>
          <w:szCs w:val="28"/>
        </w:rPr>
      </w:pPr>
      <w:r>
        <w:rPr>
          <w:color w:val="000000"/>
          <w:szCs w:val="28"/>
        </w:rPr>
        <w:t>三、本標準未規定之項目，由稽徵機關依查得資料認定。</w:t>
      </w:r>
    </w:p>
    <w:p w:rsidR="00B26F99" w:rsidRDefault="00854F63">
      <w:pPr>
        <w:pStyle w:val="Textbody"/>
        <w:wordWrap/>
        <w:spacing w:after="0" w:line="460" w:lineRule="exact"/>
        <w:ind w:left="567" w:hanging="567"/>
        <w:jc w:val="both"/>
        <w:rPr>
          <w:color w:val="000000"/>
          <w:szCs w:val="28"/>
        </w:rPr>
      </w:pPr>
      <w:r>
        <w:rPr>
          <w:color w:val="000000"/>
          <w:szCs w:val="28"/>
        </w:rPr>
        <w:t>四、地政士執行業務收費計算應以「件」為單位，所稱「件」，原則上以地政事務所收文一案為準，再依下列規定計算：</w:t>
      </w:r>
    </w:p>
    <w:p w:rsidR="00B26F99" w:rsidRDefault="00854F63">
      <w:pPr>
        <w:pStyle w:val="Textbody"/>
        <w:tabs>
          <w:tab w:val="left" w:pos="1260"/>
        </w:tabs>
        <w:wordWrap/>
        <w:spacing w:after="0" w:line="460" w:lineRule="exact"/>
        <w:ind w:left="1077" w:hanging="454"/>
        <w:jc w:val="both"/>
      </w:pPr>
      <w:r>
        <w:t>(</w:t>
      </w:r>
      <w:r>
        <w:t>一</w:t>
      </w:r>
      <w:r>
        <w:t>)</w:t>
      </w:r>
      <w:r>
        <w:t>依登記標的物分別計件：包括房屋及基地之登記，實務上，有合為一案送件者，有分開各一送件者，均視為一案，其「件」數之計算如第四款。</w:t>
      </w:r>
    </w:p>
    <w:p w:rsidR="00B26F99" w:rsidRDefault="00854F63">
      <w:pPr>
        <w:pStyle w:val="Textbody"/>
        <w:tabs>
          <w:tab w:val="left" w:pos="1260"/>
        </w:tabs>
        <w:wordWrap/>
        <w:spacing w:after="0" w:line="460" w:lineRule="exact"/>
        <w:ind w:left="1077" w:hanging="454"/>
        <w:jc w:val="both"/>
      </w:pPr>
      <w:r>
        <w:t>(</w:t>
      </w:r>
      <w:r>
        <w:t>二</w:t>
      </w:r>
      <w:r>
        <w:t>)</w:t>
      </w:r>
      <w:r>
        <w:t>依登記性質分別計算：例如同時辦理所有權移轉及抵押權設定之登記，則應就所有權移轉登記及抵押權設定登記分別計算。</w:t>
      </w:r>
    </w:p>
    <w:p w:rsidR="00B26F99" w:rsidRDefault="00854F63">
      <w:pPr>
        <w:pStyle w:val="Textbody"/>
        <w:tabs>
          <w:tab w:val="left" w:pos="1260"/>
        </w:tabs>
        <w:wordWrap/>
        <w:spacing w:after="0" w:line="460" w:lineRule="exact"/>
        <w:ind w:left="1077" w:hanging="454"/>
        <w:jc w:val="both"/>
      </w:pPr>
      <w:r>
        <w:t>(</w:t>
      </w:r>
      <w:r>
        <w:t>三</w:t>
      </w:r>
      <w:r>
        <w:t>)</w:t>
      </w:r>
      <w:r>
        <w:t>依委託人人數分別計件：以權利人或義務人一方之人數計算，不得將雙方人數合併計算。但如係共有物之登記，雖有數名共有人，仍以一件計算，且已按標的物分別計件者，即不再依委託人人數計件。</w:t>
      </w:r>
    </w:p>
    <w:p w:rsidR="00B26F99" w:rsidRDefault="00854F63">
      <w:pPr>
        <w:pStyle w:val="Textbody"/>
        <w:tabs>
          <w:tab w:val="left" w:pos="1260"/>
        </w:tabs>
        <w:wordWrap/>
        <w:spacing w:after="0" w:line="460" w:lineRule="exact"/>
        <w:ind w:left="1077" w:hanging="454"/>
        <w:jc w:val="both"/>
      </w:pPr>
      <w:r>
        <w:t>(</w:t>
      </w:r>
      <w:r>
        <w:t>四</w:t>
      </w:r>
      <w:r>
        <w:t>)</w:t>
      </w:r>
      <w:r>
        <w:t>同一收文案有多筆土地或多棟房屋者，以土地一筆為一件或房屋一棟為一件計算；另每增加土地一筆或房屋一棟，則加計百分之二十五，加計部分以加計至百分之二百為限。</w:t>
      </w:r>
    </w:p>
    <w:sectPr w:rsidR="00B26F99">
      <w:pgSz w:w="11906" w:h="16838"/>
      <w:pgMar w:top="1417" w:right="1415"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63" w:rsidRDefault="00854F63">
      <w:pPr>
        <w:rPr>
          <w:rFonts w:hint="eastAsia"/>
        </w:rPr>
      </w:pPr>
      <w:r>
        <w:separator/>
      </w:r>
    </w:p>
  </w:endnote>
  <w:endnote w:type="continuationSeparator" w:id="0">
    <w:p w:rsidR="00854F63" w:rsidRDefault="00854F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63" w:rsidRDefault="00854F63">
      <w:pPr>
        <w:rPr>
          <w:rFonts w:hint="eastAsia"/>
        </w:rPr>
      </w:pPr>
      <w:r>
        <w:rPr>
          <w:color w:val="000000"/>
        </w:rPr>
        <w:separator/>
      </w:r>
    </w:p>
  </w:footnote>
  <w:footnote w:type="continuationSeparator" w:id="0">
    <w:p w:rsidR="00854F63" w:rsidRDefault="00854F6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0D7"/>
    <w:multiLevelType w:val="multilevel"/>
    <w:tmpl w:val="CAACA1BE"/>
    <w:styleLink w:val="WWOutlineListStyle4"/>
    <w:lvl w:ilvl="0">
      <w:start w:val="1"/>
      <w:numFmt w:val="japaneseCounting"/>
      <w:lvlText w:val="第%1章 "/>
      <w:lvlJc w:val="left"/>
    </w:lvl>
    <w:lvl w:ilvl="1">
      <w:start w:val="1"/>
      <w:numFmt w:val="japaneseCounting"/>
      <w:lvlText w:val="第%2節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0E52FA5"/>
    <w:multiLevelType w:val="multilevel"/>
    <w:tmpl w:val="106C7F92"/>
    <w:styleLink w:val="WWOutlineListStyle"/>
    <w:lvl w:ilvl="0">
      <w:start w:val="1"/>
      <w:numFmt w:val="japaneseCounting"/>
      <w:lvlText w:val="第%1章 "/>
      <w:lvlJc w:val="left"/>
    </w:lvl>
    <w:lvl w:ilvl="1">
      <w:start w:val="1"/>
      <w:numFmt w:val="japaneseCounting"/>
      <w:lvlText w:val="第%2節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25CA0233"/>
    <w:multiLevelType w:val="multilevel"/>
    <w:tmpl w:val="2E140ECC"/>
    <w:styleLink w:val="WWOutlineListStyle5"/>
    <w:lvl w:ilvl="0">
      <w:start w:val="1"/>
      <w:numFmt w:val="japaneseCounting"/>
      <w:lvlText w:val="第%1章 "/>
      <w:lvlJc w:val="left"/>
    </w:lvl>
    <w:lvl w:ilvl="1">
      <w:start w:val="1"/>
      <w:numFmt w:val="japaneseCounting"/>
      <w:lvlText w:val="第%2節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F5E6E29"/>
    <w:multiLevelType w:val="multilevel"/>
    <w:tmpl w:val="F064DE5A"/>
    <w:styleLink w:val="WWOutlineListStyle3"/>
    <w:lvl w:ilvl="0">
      <w:start w:val="1"/>
      <w:numFmt w:val="japaneseCounting"/>
      <w:lvlText w:val="第%1章 "/>
      <w:lvlJc w:val="left"/>
    </w:lvl>
    <w:lvl w:ilvl="1">
      <w:start w:val="1"/>
      <w:numFmt w:val="japaneseCounting"/>
      <w:lvlText w:val="第%2節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FB963D5"/>
    <w:multiLevelType w:val="multilevel"/>
    <w:tmpl w:val="4A446EB2"/>
    <w:styleLink w:val="WWOutlineListStyle1"/>
    <w:lvl w:ilvl="0">
      <w:start w:val="1"/>
      <w:numFmt w:val="japaneseCounting"/>
      <w:lvlText w:val="第%1章 "/>
      <w:lvlJc w:val="left"/>
    </w:lvl>
    <w:lvl w:ilvl="1">
      <w:start w:val="1"/>
      <w:numFmt w:val="japaneseCounting"/>
      <w:lvlText w:val="第%2節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45AC0AA6"/>
    <w:multiLevelType w:val="multilevel"/>
    <w:tmpl w:val="59FA68C0"/>
    <w:styleLink w:val="14pt11"/>
    <w:lvl w:ilvl="0">
      <w:start w:val="1"/>
      <w:numFmt w:val="japaneseCounting"/>
      <w:lvlText w:val="%1、"/>
      <w:lvlJc w:val="left"/>
      <w:rPr>
        <w:rFonts w:ascii="標楷體" w:eastAsia="標楷體" w:hAnsi="標楷體"/>
        <w:sz w:val="28"/>
      </w:rPr>
    </w:lvl>
    <w:lvl w:ilvl="1">
      <w:start w:val="1"/>
      <w:numFmt w:val="japaneseCounting"/>
      <w:lvlText w:val="(%2)"/>
      <w:lvlJc w:val="left"/>
      <w:rPr>
        <w:rFonts w:ascii="標楷體" w:eastAsia="標楷體" w:hAnsi="標楷體"/>
        <w:sz w:val="28"/>
      </w:rPr>
    </w:lvl>
    <w:lvl w:ilvl="2">
      <w:start w:val="1"/>
      <w:numFmt w:val="decimal"/>
      <w:lvlText w:val="%3."/>
      <w:lvlJc w:val="left"/>
      <w:rPr>
        <w:rFonts w:ascii="標楷體" w:eastAsia="標楷體" w:hAnsi="標楷體"/>
        <w:sz w:val="28"/>
      </w:rPr>
    </w:lvl>
    <w:lvl w:ilvl="3">
      <w:start w:val="1"/>
      <w:numFmt w:val="decimal"/>
      <w:lvlText w:val="(%4)"/>
      <w:lvlJc w:val="left"/>
      <w:rPr>
        <w:rFonts w:ascii="標楷體" w:eastAsia="標楷體" w:hAnsi="標楷體"/>
        <w:sz w:val="28"/>
      </w:rPr>
    </w:lvl>
    <w:lvl w:ilvl="4">
      <w:start w:val="1"/>
      <w:numFmt w:val="ideographTraditional"/>
      <w:lvlText w:val="%5、"/>
      <w:lvlJc w:val="left"/>
      <w:rPr>
        <w:rFonts w:ascii="標楷體" w:eastAsia="標楷體" w:hAnsi="標楷體"/>
        <w:sz w:val="28"/>
      </w:rPr>
    </w:lvl>
    <w:lvl w:ilvl="5">
      <w:start w:val="1"/>
      <w:numFmt w:val="ideographTraditional"/>
      <w:lvlText w:val="(%6)"/>
      <w:lvlJc w:val="left"/>
      <w:rPr>
        <w:rFonts w:ascii="標楷體" w:eastAsia="標楷體" w:hAnsi="標楷體"/>
        <w:sz w:val="28"/>
      </w:rPr>
    </w:lvl>
    <w:lvl w:ilvl="6">
      <w:start w:val="1"/>
      <w:numFmt w:val="decimalEnclosedCircle"/>
      <w:lvlText w:val="%7"/>
      <w:lvlJc w:val="left"/>
      <w:rPr>
        <w:rFonts w:ascii="標楷體" w:eastAsia="標楷體" w:hAnsi="標楷體"/>
        <w:sz w:val="28"/>
      </w:rPr>
    </w:lvl>
    <w:lvl w:ilvl="7">
      <w:start w:val="1"/>
      <w:numFmt w:val="decimal"/>
      <w:lvlText w:val="%8."/>
      <w:lvlJc w:val="left"/>
      <w:rPr>
        <w:rFonts w:ascii="標楷體" w:eastAsia="標楷體" w:hAnsi="標楷體"/>
        <w:sz w:val="28"/>
      </w:rPr>
    </w:lvl>
    <w:lvl w:ilvl="8">
      <w:start w:val="1"/>
      <w:numFmt w:val="decimal"/>
      <w:lvlText w:val="%9."/>
      <w:lvlJc w:val="left"/>
      <w:rPr>
        <w:rFonts w:ascii="標楷體" w:eastAsia="標楷體" w:hAnsi="標楷體"/>
        <w:sz w:val="28"/>
      </w:rPr>
    </w:lvl>
  </w:abstractNum>
  <w:abstractNum w:abstractNumId="6">
    <w:nsid w:val="5C5E4B60"/>
    <w:multiLevelType w:val="multilevel"/>
    <w:tmpl w:val="D2A2439C"/>
    <w:styleLink w:val="WWOutlineListStyle6"/>
    <w:lvl w:ilvl="0">
      <w:start w:val="1"/>
      <w:numFmt w:val="japaneseCounting"/>
      <w:pStyle w:val="1"/>
      <w:lvlText w:val="第%1章 "/>
      <w:lvlJc w:val="left"/>
    </w:lvl>
    <w:lvl w:ilvl="1">
      <w:start w:val="1"/>
      <w:numFmt w:val="japaneseCounting"/>
      <w:pStyle w:val="2"/>
      <w:lvlText w:val="第%2節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6D6877E2"/>
    <w:multiLevelType w:val="multilevel"/>
    <w:tmpl w:val="CA48A752"/>
    <w:styleLink w:val="WWOutlineListStyle2"/>
    <w:lvl w:ilvl="0">
      <w:start w:val="1"/>
      <w:numFmt w:val="japaneseCounting"/>
      <w:lvlText w:val="第%1章 "/>
      <w:lvlJc w:val="left"/>
    </w:lvl>
    <w:lvl w:ilvl="1">
      <w:start w:val="1"/>
      <w:numFmt w:val="japaneseCounting"/>
      <w:lvlText w:val="第%2節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4C60FFA"/>
    <w:multiLevelType w:val="multilevel"/>
    <w:tmpl w:val="281E6584"/>
    <w:styleLink w:val="14pt11Aa"/>
    <w:lvl w:ilvl="0">
      <w:start w:val="1"/>
      <w:numFmt w:val="japaneseCounting"/>
      <w:lvlText w:val="%1、"/>
      <w:lvlJc w:val="left"/>
      <w:rPr>
        <w:rFonts w:ascii="標楷體" w:eastAsia="標楷體" w:hAnsi="標楷體"/>
        <w:sz w:val="28"/>
      </w:rPr>
    </w:lvl>
    <w:lvl w:ilvl="1">
      <w:start w:val="1"/>
      <w:numFmt w:val="japaneseCounting"/>
      <w:lvlText w:val="(%2)"/>
      <w:lvlJc w:val="left"/>
      <w:rPr>
        <w:rFonts w:ascii="標楷體" w:eastAsia="標楷體" w:hAnsi="標楷體"/>
        <w:sz w:val="28"/>
      </w:rPr>
    </w:lvl>
    <w:lvl w:ilvl="2">
      <w:start w:val="1"/>
      <w:numFmt w:val="decimal"/>
      <w:lvlText w:val="%3."/>
      <w:lvlJc w:val="left"/>
      <w:rPr>
        <w:rFonts w:ascii="標楷體" w:eastAsia="標楷體" w:hAnsi="標楷體"/>
        <w:sz w:val="28"/>
      </w:rPr>
    </w:lvl>
    <w:lvl w:ilvl="3">
      <w:start w:val="1"/>
      <w:numFmt w:val="decimal"/>
      <w:lvlText w:val="(%4)"/>
      <w:lvlJc w:val="left"/>
      <w:rPr>
        <w:rFonts w:ascii="標楷體" w:eastAsia="標楷體" w:hAnsi="標楷體"/>
        <w:sz w:val="28"/>
      </w:rPr>
    </w:lvl>
    <w:lvl w:ilvl="4">
      <w:start w:val="1"/>
      <w:numFmt w:val="upperLetter"/>
      <w:lvlText w:val="%5."/>
      <w:lvlJc w:val="left"/>
      <w:rPr>
        <w:rFonts w:ascii="標楷體" w:eastAsia="標楷體" w:hAnsi="標楷體"/>
        <w:sz w:val="28"/>
      </w:rPr>
    </w:lvl>
    <w:lvl w:ilvl="5">
      <w:start w:val="1"/>
      <w:numFmt w:val="lowerLetter"/>
      <w:lvlText w:val="%6."/>
      <w:lvlJc w:val="left"/>
      <w:rPr>
        <w:rFonts w:ascii="標楷體" w:eastAsia="標楷體" w:hAnsi="標楷體"/>
        <w:sz w:val="28"/>
      </w:rPr>
    </w:lvl>
    <w:lvl w:ilvl="6">
      <w:start w:val="1"/>
      <w:numFmt w:val="decimalEnclosedCircle"/>
      <w:lvlText w:val="%7"/>
      <w:lvlJc w:val="left"/>
      <w:rPr>
        <w:rFonts w:ascii="標楷體" w:eastAsia="標楷體" w:hAnsi="標楷體"/>
        <w:sz w:val="28"/>
      </w:rPr>
    </w:lvl>
    <w:lvl w:ilvl="7">
      <w:start w:val="1"/>
      <w:numFmt w:val="japaneseCounting"/>
      <w:lvlText w:val="%8、"/>
      <w:lvlJc w:val="left"/>
      <w:rPr>
        <w:rFonts w:ascii="標楷體" w:eastAsia="標楷體" w:hAnsi="標楷體"/>
        <w:sz w:val="28"/>
      </w:rPr>
    </w:lvl>
    <w:lvl w:ilvl="8">
      <w:start w:val="1"/>
      <w:numFmt w:val="japaneseCounting"/>
      <w:lvlText w:val="%9、"/>
      <w:lvlJc w:val="left"/>
      <w:rPr>
        <w:rFonts w:ascii="標楷體" w:eastAsia="標楷體" w:hAnsi="標楷體"/>
        <w:sz w:val="28"/>
      </w:rPr>
    </w:lvl>
  </w:abstractNum>
  <w:abstractNum w:abstractNumId="9">
    <w:nsid w:val="7F180E3C"/>
    <w:multiLevelType w:val="multilevel"/>
    <w:tmpl w:val="71B49332"/>
    <w:styleLink w:val="14pt11Aa0"/>
    <w:lvl w:ilvl="0">
      <w:start w:val="1"/>
      <w:numFmt w:val="ideographLegalTraditional"/>
      <w:lvlText w:val="%1、"/>
      <w:lvlJc w:val="left"/>
      <w:rPr>
        <w:rFonts w:ascii="標楷體" w:eastAsia="標楷體" w:hAnsi="標楷體"/>
        <w:sz w:val="28"/>
      </w:rPr>
    </w:lvl>
    <w:lvl w:ilvl="1">
      <w:start w:val="1"/>
      <w:numFmt w:val="japaneseCounting"/>
      <w:lvlText w:val="%2、"/>
      <w:lvlJc w:val="left"/>
      <w:rPr>
        <w:rFonts w:ascii="標楷體" w:eastAsia="標楷體" w:hAnsi="標楷體"/>
        <w:sz w:val="28"/>
      </w:rPr>
    </w:lvl>
    <w:lvl w:ilvl="2">
      <w:start w:val="1"/>
      <w:numFmt w:val="japaneseCounting"/>
      <w:lvlText w:val="(%3)"/>
      <w:lvlJc w:val="left"/>
      <w:rPr>
        <w:rFonts w:ascii="標楷體" w:eastAsia="標楷體" w:hAnsi="標楷體"/>
        <w:sz w:val="28"/>
      </w:rPr>
    </w:lvl>
    <w:lvl w:ilvl="3">
      <w:start w:val="1"/>
      <w:numFmt w:val="decimal"/>
      <w:lvlText w:val="%4."/>
      <w:lvlJc w:val="left"/>
      <w:rPr>
        <w:rFonts w:ascii="標楷體" w:eastAsia="標楷體" w:hAnsi="標楷體"/>
        <w:sz w:val="28"/>
      </w:rPr>
    </w:lvl>
    <w:lvl w:ilvl="4">
      <w:start w:val="1"/>
      <w:numFmt w:val="decimal"/>
      <w:lvlText w:val="(%5)"/>
      <w:lvlJc w:val="left"/>
      <w:rPr>
        <w:rFonts w:ascii="標楷體" w:eastAsia="標楷體" w:hAnsi="標楷體"/>
        <w:sz w:val="28"/>
      </w:rPr>
    </w:lvl>
    <w:lvl w:ilvl="5">
      <w:start w:val="1"/>
      <w:numFmt w:val="upperLetter"/>
      <w:lvlText w:val="%6."/>
      <w:lvlJc w:val="left"/>
      <w:rPr>
        <w:rFonts w:ascii="標楷體" w:eastAsia="標楷體" w:hAnsi="標楷體"/>
        <w:sz w:val="28"/>
      </w:rPr>
    </w:lvl>
    <w:lvl w:ilvl="6">
      <w:start w:val="1"/>
      <w:numFmt w:val="lowerLetter"/>
      <w:lvlText w:val="%7."/>
      <w:lvlJc w:val="left"/>
      <w:rPr>
        <w:rFonts w:ascii="標楷體" w:eastAsia="標楷體" w:hAnsi="標楷體"/>
        <w:sz w:val="28"/>
      </w:rPr>
    </w:lvl>
    <w:lvl w:ilvl="7">
      <w:start w:val="1"/>
      <w:numFmt w:val="ideographTraditional"/>
      <w:lvlText w:val="%8、"/>
      <w:lvlJc w:val="left"/>
      <w:rPr>
        <w:rFonts w:ascii="標楷體" w:eastAsia="標楷體" w:hAnsi="標楷體"/>
        <w:sz w:val="28"/>
      </w:rPr>
    </w:lvl>
    <w:lvl w:ilvl="8">
      <w:start w:val="1"/>
      <w:numFmt w:val="ideographTraditional"/>
      <w:lvlText w:val="(%9)"/>
      <w:lvlJc w:val="left"/>
      <w:rPr>
        <w:rFonts w:ascii="標楷體" w:eastAsia="標楷體" w:hAnsi="標楷體"/>
        <w:sz w:val="28"/>
      </w:rPr>
    </w:lvl>
  </w:abstractNum>
  <w:num w:numId="1">
    <w:abstractNumId w:val="6"/>
  </w:num>
  <w:num w:numId="2">
    <w:abstractNumId w:val="2"/>
  </w:num>
  <w:num w:numId="3">
    <w:abstractNumId w:val="0"/>
  </w:num>
  <w:num w:numId="4">
    <w:abstractNumId w:val="3"/>
  </w:num>
  <w:num w:numId="5">
    <w:abstractNumId w:val="7"/>
  </w:num>
  <w:num w:numId="6">
    <w:abstractNumId w:val="4"/>
  </w:num>
  <w:num w:numId="7">
    <w:abstractNumId w:val="1"/>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defaultTabStop w:val="56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26F99"/>
    <w:rsid w:val="00335651"/>
    <w:rsid w:val="00854F63"/>
    <w:rsid w:val="00B26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numPr>
        <w:numId w:val="1"/>
      </w:numPr>
      <w:outlineLvl w:val="0"/>
    </w:pPr>
    <w:rPr>
      <w:sz w:val="44"/>
    </w:rPr>
  </w:style>
  <w:style w:type="paragraph" w:styleId="2">
    <w:name w:val="heading 2"/>
    <w:basedOn w:val="Heading"/>
    <w:next w:val="Textbody"/>
    <w:pPr>
      <w:numPr>
        <w:ilvl w:val="1"/>
        <w:numId w:val="1"/>
      </w:numPr>
      <w:outlineLvl w:val="1"/>
    </w:pPr>
    <w:rPr>
      <w:sz w:val="36"/>
    </w:rPr>
  </w:style>
  <w:style w:type="paragraph" w:styleId="3">
    <w:name w:val="heading 3"/>
    <w:basedOn w:val="Heading"/>
    <w:next w:val="Textbody"/>
    <w:pPr>
      <w:spacing w:before="1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6">
    <w:name w:val="WW_OutlineListStyle_6"/>
    <w:basedOn w:val="a2"/>
    <w:pPr>
      <w:numPr>
        <w:numId w:val="1"/>
      </w:numPr>
    </w:pPr>
  </w:style>
  <w:style w:type="paragraph" w:customStyle="1" w:styleId="Standard">
    <w:name w:val="Standard"/>
    <w:pPr>
      <w:suppressAutoHyphens/>
      <w:wordWrap w:val="0"/>
      <w:overflowPunct w:val="0"/>
    </w:pPr>
    <w:rPr>
      <w:rFonts w:ascii="Times New Roman" w:eastAsia="標楷體" w:hAnsi="Times New Roman" w:cs="Times New Roman"/>
      <w:sz w:val="28"/>
    </w:r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40" w:line="288" w:lineRule="auto"/>
    </w:pPr>
  </w:style>
  <w:style w:type="paragraph" w:styleId="a3">
    <w:name w:val="List"/>
    <w:basedOn w:val="Textbody"/>
    <w:rPr>
      <w:sz w:val="24"/>
    </w:rPr>
  </w:style>
  <w:style w:type="paragraph" w:styleId="a4">
    <w:name w:val="caption"/>
    <w:basedOn w:val="Standard"/>
    <w:pPr>
      <w:suppressLineNumbers/>
      <w:spacing w:before="120" w:after="120"/>
    </w:pPr>
    <w:rPr>
      <w:i/>
      <w:iCs/>
      <w:sz w:val="24"/>
    </w:rPr>
  </w:style>
  <w:style w:type="paragraph" w:customStyle="1" w:styleId="Index">
    <w:name w:val="Index"/>
    <w:basedOn w:val="Standard"/>
    <w:pPr>
      <w:suppressLineNumbers/>
      <w:spacing w:line="480" w:lineRule="exact"/>
    </w:pPr>
    <w:rPr>
      <w:sz w:val="24"/>
    </w:rPr>
  </w:style>
  <w:style w:type="paragraph" w:styleId="a5">
    <w:name w:val="Subtitle"/>
    <w:basedOn w:val="Heading"/>
    <w:next w:val="Textbody"/>
    <w:pPr>
      <w:spacing w:before="60"/>
    </w:pPr>
    <w:rPr>
      <w:sz w:val="36"/>
      <w:szCs w:val="36"/>
    </w:rPr>
  </w:style>
  <w:style w:type="paragraph" w:customStyle="1" w:styleId="Textbodyindent">
    <w:name w:val="Text body indent"/>
    <w:basedOn w:val="Textbody"/>
    <w:pPr>
      <w:ind w:left="283"/>
    </w:pPr>
  </w:style>
  <w:style w:type="paragraph" w:customStyle="1" w:styleId="Firstlineindent">
    <w:name w:val="First line indent"/>
    <w:basedOn w:val="Textbody"/>
    <w:pPr>
      <w:ind w:firstLine="560"/>
    </w:pPr>
  </w:style>
  <w:style w:type="paragraph" w:customStyle="1" w:styleId="Hangingindent">
    <w:name w:val="Hanging indent"/>
    <w:basedOn w:val="Textbody"/>
    <w:pPr>
      <w:ind w:left="560" w:hanging="280"/>
    </w:pPr>
  </w:style>
  <w:style w:type="paragraph" w:customStyle="1" w:styleId="a6">
    <w:name w:val="內文最後一行左右對齊"/>
    <w:basedOn w:val="Textbody"/>
    <w:pPr>
      <w:jc w:val="both"/>
    </w:pPr>
  </w:style>
  <w:style w:type="paragraph" w:customStyle="1" w:styleId="TableContents">
    <w:name w:val="Table Contents"/>
    <w:basedOn w:val="Standard"/>
    <w:pPr>
      <w:suppressLineNumbers/>
    </w:pPr>
    <w:rPr>
      <w:sz w:val="22"/>
    </w:rPr>
  </w:style>
  <w:style w:type="paragraph" w:customStyle="1" w:styleId="TableHeading">
    <w:name w:val="Table Heading"/>
    <w:basedOn w:val="TableContents"/>
    <w:pPr>
      <w:jc w:val="center"/>
    </w:pPr>
    <w:rPr>
      <w:b/>
      <w:bCs/>
    </w:rPr>
  </w:style>
  <w:style w:type="paragraph" w:customStyle="1" w:styleId="a7">
    <w:name w:val="表格最後一行左右對齊"/>
    <w:basedOn w:val="TableContents"/>
    <w:pPr>
      <w:jc w:val="both"/>
    </w:pPr>
  </w:style>
  <w:style w:type="paragraph" w:styleId="a8">
    <w:name w:val="index heading"/>
    <w:basedOn w:val="Heading"/>
    <w:pPr>
      <w:suppressLineNumbers/>
    </w:pPr>
    <w:rPr>
      <w:sz w:val="32"/>
      <w:szCs w:val="32"/>
    </w:rPr>
  </w:style>
  <w:style w:type="paragraph" w:customStyle="1" w:styleId="ContentsHeading">
    <w:name w:val="Contents Heading"/>
    <w:basedOn w:val="Heading"/>
    <w:pPr>
      <w:suppressLineNumbers/>
    </w:pPr>
    <w:rPr>
      <w:sz w:val="36"/>
      <w:szCs w:val="32"/>
    </w:rPr>
  </w:style>
  <w:style w:type="paragraph" w:customStyle="1" w:styleId="Contents1">
    <w:name w:val="Contents 1"/>
    <w:basedOn w:val="Index"/>
    <w:pPr>
      <w:tabs>
        <w:tab w:val="right" w:leader="dot" w:pos="9638"/>
      </w:tabs>
      <w:spacing w:before="180" w:after="180"/>
    </w:pPr>
    <w:rPr>
      <w:b/>
      <w:sz w:val="36"/>
    </w:rPr>
  </w:style>
  <w:style w:type="paragraph" w:customStyle="1" w:styleId="Contents2">
    <w:name w:val="Contents 2"/>
    <w:basedOn w:val="Index"/>
    <w:pPr>
      <w:tabs>
        <w:tab w:val="right" w:leader="dot" w:pos="9635"/>
      </w:tabs>
      <w:ind w:left="280"/>
    </w:pPr>
    <w:rPr>
      <w:sz w:val="32"/>
    </w:rPr>
  </w:style>
  <w:style w:type="paragraph" w:customStyle="1" w:styleId="HeaderandFooter">
    <w:name w:val="Header and Footer"/>
    <w:basedOn w:val="Standard"/>
    <w:pPr>
      <w:suppressLineNumbers/>
      <w:tabs>
        <w:tab w:val="center" w:pos="4819"/>
        <w:tab w:val="right" w:pos="9638"/>
      </w:tabs>
    </w:pPr>
  </w:style>
  <w:style w:type="paragraph" w:styleId="a9">
    <w:name w:val="footer"/>
    <w:basedOn w:val="Standard"/>
    <w:pPr>
      <w:suppressLineNumbers/>
      <w:tabs>
        <w:tab w:val="center" w:pos="4819"/>
        <w:tab w:val="right" w:pos="9638"/>
      </w:tabs>
      <w:jc w:val="center"/>
    </w:pPr>
    <w:rPr>
      <w:color w:val="666666"/>
      <w:sz w:val="22"/>
    </w:rPr>
  </w:style>
  <w:style w:type="paragraph" w:styleId="aa">
    <w:name w:val="header"/>
    <w:basedOn w:val="Standard"/>
    <w:pPr>
      <w:suppressLineNumbers/>
      <w:tabs>
        <w:tab w:val="center" w:pos="4819"/>
        <w:tab w:val="right" w:pos="9638"/>
      </w:tabs>
    </w:pPr>
    <w:rPr>
      <w:sz w:val="22"/>
    </w:rPr>
  </w:style>
  <w:style w:type="paragraph" w:customStyle="1" w:styleId="Quotations">
    <w:name w:val="Quotations"/>
    <w:basedOn w:val="Standard"/>
    <w:pPr>
      <w:spacing w:after="283"/>
      <w:ind w:left="567" w:right="567"/>
    </w:pPr>
  </w:style>
  <w:style w:type="paragraph" w:styleId="ab">
    <w:name w:val="Balloon Text"/>
    <w:basedOn w:val="Textbody"/>
    <w:pPr>
      <w:suppressAutoHyphens w:val="0"/>
    </w:pPr>
    <w:rPr>
      <w:rFonts w:ascii="Calibri Light" w:eastAsia="新細明體" w:hAnsi="Calibri Light" w:cs="Calibri Light"/>
      <w:sz w:val="18"/>
      <w:szCs w:val="16"/>
    </w:rPr>
  </w:style>
  <w:style w:type="character" w:customStyle="1" w:styleId="14pt">
    <w:name w:val="14pt標楷體"/>
    <w:rPr>
      <w:rFonts w:ascii="標楷體" w:eastAsia="標楷體" w:hAnsi="標楷體" w:cs="標楷體"/>
      <w:sz w:val="28"/>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character" w:customStyle="1" w:styleId="ac">
    <w:name w:val="註解方塊文字 字元"/>
    <w:basedOn w:val="a0"/>
    <w:rPr>
      <w:rFonts w:ascii="Calibri Light" w:eastAsia="新細明體" w:hAnsi="Calibri Light" w:cs="Calibri Light"/>
      <w:sz w:val="18"/>
      <w:szCs w:val="16"/>
    </w:rPr>
  </w:style>
  <w:style w:type="numbering" w:customStyle="1" w:styleId="WWOutlineListStyle5">
    <w:name w:val="WW_OutlineListStyle_5"/>
    <w:basedOn w:val="a2"/>
    <w:pPr>
      <w:numPr>
        <w:numId w:val="2"/>
      </w:numPr>
    </w:pPr>
  </w:style>
  <w:style w:type="numbering" w:customStyle="1" w:styleId="WWOutlineListStyle4">
    <w:name w:val="WW_OutlineListStyle_4"/>
    <w:basedOn w:val="a2"/>
    <w:pPr>
      <w:numPr>
        <w:numId w:val="3"/>
      </w:numPr>
    </w:pPr>
  </w:style>
  <w:style w:type="numbering" w:customStyle="1" w:styleId="WWOutlineListStyle3">
    <w:name w:val="WW_OutlineListStyle_3"/>
    <w:basedOn w:val="a2"/>
    <w:pPr>
      <w:numPr>
        <w:numId w:val="4"/>
      </w:numPr>
    </w:pPr>
  </w:style>
  <w:style w:type="numbering" w:customStyle="1" w:styleId="WWOutlineListStyle2">
    <w:name w:val="WW_OutlineListStyle_2"/>
    <w:basedOn w:val="a2"/>
    <w:pPr>
      <w:numPr>
        <w:numId w:val="5"/>
      </w:numPr>
    </w:pPr>
  </w:style>
  <w:style w:type="numbering" w:customStyle="1" w:styleId="WWOutlineListStyle1">
    <w:name w:val="WW_OutlineListStyle_1"/>
    <w:basedOn w:val="a2"/>
    <w:pPr>
      <w:numPr>
        <w:numId w:val="6"/>
      </w:numPr>
    </w:pPr>
  </w:style>
  <w:style w:type="numbering" w:customStyle="1" w:styleId="WWOutlineListStyle">
    <w:name w:val="WW_OutlineListStyle"/>
    <w:basedOn w:val="a2"/>
    <w:pPr>
      <w:numPr>
        <w:numId w:val="7"/>
      </w:numPr>
    </w:pPr>
  </w:style>
  <w:style w:type="numbering" w:customStyle="1" w:styleId="14pt11">
    <w:name w:val="14pt公文標準【一、(一)1.(1)甲、(甲)】"/>
    <w:basedOn w:val="a2"/>
    <w:pPr>
      <w:numPr>
        <w:numId w:val="8"/>
      </w:numPr>
    </w:pPr>
  </w:style>
  <w:style w:type="numbering" w:customStyle="1" w:styleId="14pt11Aa">
    <w:name w:val="14pt常用編號【一、(一)1.(1)A.a.①】"/>
    <w:basedOn w:val="a2"/>
    <w:pPr>
      <w:numPr>
        <w:numId w:val="9"/>
      </w:numPr>
    </w:pPr>
  </w:style>
  <w:style w:type="numbering" w:customStyle="1" w:styleId="14pt11Aa0">
    <w:name w:val="14pt完整十層【壹、一、(一)1.(1)A.a.甲、(甲)①】"/>
    <w:basedOn w:val="a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numPr>
        <w:numId w:val="1"/>
      </w:numPr>
      <w:outlineLvl w:val="0"/>
    </w:pPr>
    <w:rPr>
      <w:sz w:val="44"/>
    </w:rPr>
  </w:style>
  <w:style w:type="paragraph" w:styleId="2">
    <w:name w:val="heading 2"/>
    <w:basedOn w:val="Heading"/>
    <w:next w:val="Textbody"/>
    <w:pPr>
      <w:numPr>
        <w:ilvl w:val="1"/>
        <w:numId w:val="1"/>
      </w:numPr>
      <w:outlineLvl w:val="1"/>
    </w:pPr>
    <w:rPr>
      <w:sz w:val="36"/>
    </w:rPr>
  </w:style>
  <w:style w:type="paragraph" w:styleId="3">
    <w:name w:val="heading 3"/>
    <w:basedOn w:val="Heading"/>
    <w:next w:val="Textbody"/>
    <w:pPr>
      <w:spacing w:before="1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6">
    <w:name w:val="WW_OutlineListStyle_6"/>
    <w:basedOn w:val="a2"/>
    <w:pPr>
      <w:numPr>
        <w:numId w:val="1"/>
      </w:numPr>
    </w:pPr>
  </w:style>
  <w:style w:type="paragraph" w:customStyle="1" w:styleId="Standard">
    <w:name w:val="Standard"/>
    <w:pPr>
      <w:suppressAutoHyphens/>
      <w:wordWrap w:val="0"/>
      <w:overflowPunct w:val="0"/>
    </w:pPr>
    <w:rPr>
      <w:rFonts w:ascii="Times New Roman" w:eastAsia="標楷體" w:hAnsi="Times New Roman" w:cs="Times New Roman"/>
      <w:sz w:val="28"/>
    </w:r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40" w:line="288" w:lineRule="auto"/>
    </w:pPr>
  </w:style>
  <w:style w:type="paragraph" w:styleId="a3">
    <w:name w:val="List"/>
    <w:basedOn w:val="Textbody"/>
    <w:rPr>
      <w:sz w:val="24"/>
    </w:rPr>
  </w:style>
  <w:style w:type="paragraph" w:styleId="a4">
    <w:name w:val="caption"/>
    <w:basedOn w:val="Standard"/>
    <w:pPr>
      <w:suppressLineNumbers/>
      <w:spacing w:before="120" w:after="120"/>
    </w:pPr>
    <w:rPr>
      <w:i/>
      <w:iCs/>
      <w:sz w:val="24"/>
    </w:rPr>
  </w:style>
  <w:style w:type="paragraph" w:customStyle="1" w:styleId="Index">
    <w:name w:val="Index"/>
    <w:basedOn w:val="Standard"/>
    <w:pPr>
      <w:suppressLineNumbers/>
      <w:spacing w:line="480" w:lineRule="exact"/>
    </w:pPr>
    <w:rPr>
      <w:sz w:val="24"/>
    </w:rPr>
  </w:style>
  <w:style w:type="paragraph" w:styleId="a5">
    <w:name w:val="Subtitle"/>
    <w:basedOn w:val="Heading"/>
    <w:next w:val="Textbody"/>
    <w:pPr>
      <w:spacing w:before="60"/>
    </w:pPr>
    <w:rPr>
      <w:sz w:val="36"/>
      <w:szCs w:val="36"/>
    </w:rPr>
  </w:style>
  <w:style w:type="paragraph" w:customStyle="1" w:styleId="Textbodyindent">
    <w:name w:val="Text body indent"/>
    <w:basedOn w:val="Textbody"/>
    <w:pPr>
      <w:ind w:left="283"/>
    </w:pPr>
  </w:style>
  <w:style w:type="paragraph" w:customStyle="1" w:styleId="Firstlineindent">
    <w:name w:val="First line indent"/>
    <w:basedOn w:val="Textbody"/>
    <w:pPr>
      <w:ind w:firstLine="560"/>
    </w:pPr>
  </w:style>
  <w:style w:type="paragraph" w:customStyle="1" w:styleId="Hangingindent">
    <w:name w:val="Hanging indent"/>
    <w:basedOn w:val="Textbody"/>
    <w:pPr>
      <w:ind w:left="560" w:hanging="280"/>
    </w:pPr>
  </w:style>
  <w:style w:type="paragraph" w:customStyle="1" w:styleId="a6">
    <w:name w:val="內文最後一行左右對齊"/>
    <w:basedOn w:val="Textbody"/>
    <w:pPr>
      <w:jc w:val="both"/>
    </w:pPr>
  </w:style>
  <w:style w:type="paragraph" w:customStyle="1" w:styleId="TableContents">
    <w:name w:val="Table Contents"/>
    <w:basedOn w:val="Standard"/>
    <w:pPr>
      <w:suppressLineNumbers/>
    </w:pPr>
    <w:rPr>
      <w:sz w:val="22"/>
    </w:rPr>
  </w:style>
  <w:style w:type="paragraph" w:customStyle="1" w:styleId="TableHeading">
    <w:name w:val="Table Heading"/>
    <w:basedOn w:val="TableContents"/>
    <w:pPr>
      <w:jc w:val="center"/>
    </w:pPr>
    <w:rPr>
      <w:b/>
      <w:bCs/>
    </w:rPr>
  </w:style>
  <w:style w:type="paragraph" w:customStyle="1" w:styleId="a7">
    <w:name w:val="表格最後一行左右對齊"/>
    <w:basedOn w:val="TableContents"/>
    <w:pPr>
      <w:jc w:val="both"/>
    </w:pPr>
  </w:style>
  <w:style w:type="paragraph" w:styleId="a8">
    <w:name w:val="index heading"/>
    <w:basedOn w:val="Heading"/>
    <w:pPr>
      <w:suppressLineNumbers/>
    </w:pPr>
    <w:rPr>
      <w:sz w:val="32"/>
      <w:szCs w:val="32"/>
    </w:rPr>
  </w:style>
  <w:style w:type="paragraph" w:customStyle="1" w:styleId="ContentsHeading">
    <w:name w:val="Contents Heading"/>
    <w:basedOn w:val="Heading"/>
    <w:pPr>
      <w:suppressLineNumbers/>
    </w:pPr>
    <w:rPr>
      <w:sz w:val="36"/>
      <w:szCs w:val="32"/>
    </w:rPr>
  </w:style>
  <w:style w:type="paragraph" w:customStyle="1" w:styleId="Contents1">
    <w:name w:val="Contents 1"/>
    <w:basedOn w:val="Index"/>
    <w:pPr>
      <w:tabs>
        <w:tab w:val="right" w:leader="dot" w:pos="9638"/>
      </w:tabs>
      <w:spacing w:before="180" w:after="180"/>
    </w:pPr>
    <w:rPr>
      <w:b/>
      <w:sz w:val="36"/>
    </w:rPr>
  </w:style>
  <w:style w:type="paragraph" w:customStyle="1" w:styleId="Contents2">
    <w:name w:val="Contents 2"/>
    <w:basedOn w:val="Index"/>
    <w:pPr>
      <w:tabs>
        <w:tab w:val="right" w:leader="dot" w:pos="9635"/>
      </w:tabs>
      <w:ind w:left="280"/>
    </w:pPr>
    <w:rPr>
      <w:sz w:val="32"/>
    </w:rPr>
  </w:style>
  <w:style w:type="paragraph" w:customStyle="1" w:styleId="HeaderandFooter">
    <w:name w:val="Header and Footer"/>
    <w:basedOn w:val="Standard"/>
    <w:pPr>
      <w:suppressLineNumbers/>
      <w:tabs>
        <w:tab w:val="center" w:pos="4819"/>
        <w:tab w:val="right" w:pos="9638"/>
      </w:tabs>
    </w:pPr>
  </w:style>
  <w:style w:type="paragraph" w:styleId="a9">
    <w:name w:val="footer"/>
    <w:basedOn w:val="Standard"/>
    <w:pPr>
      <w:suppressLineNumbers/>
      <w:tabs>
        <w:tab w:val="center" w:pos="4819"/>
        <w:tab w:val="right" w:pos="9638"/>
      </w:tabs>
      <w:jc w:val="center"/>
    </w:pPr>
    <w:rPr>
      <w:color w:val="666666"/>
      <w:sz w:val="22"/>
    </w:rPr>
  </w:style>
  <w:style w:type="paragraph" w:styleId="aa">
    <w:name w:val="header"/>
    <w:basedOn w:val="Standard"/>
    <w:pPr>
      <w:suppressLineNumbers/>
      <w:tabs>
        <w:tab w:val="center" w:pos="4819"/>
        <w:tab w:val="right" w:pos="9638"/>
      </w:tabs>
    </w:pPr>
    <w:rPr>
      <w:sz w:val="22"/>
    </w:rPr>
  </w:style>
  <w:style w:type="paragraph" w:customStyle="1" w:styleId="Quotations">
    <w:name w:val="Quotations"/>
    <w:basedOn w:val="Standard"/>
    <w:pPr>
      <w:spacing w:after="283"/>
      <w:ind w:left="567" w:right="567"/>
    </w:pPr>
  </w:style>
  <w:style w:type="paragraph" w:styleId="ab">
    <w:name w:val="Balloon Text"/>
    <w:basedOn w:val="Textbody"/>
    <w:pPr>
      <w:suppressAutoHyphens w:val="0"/>
    </w:pPr>
    <w:rPr>
      <w:rFonts w:ascii="Calibri Light" w:eastAsia="新細明體" w:hAnsi="Calibri Light" w:cs="Calibri Light"/>
      <w:sz w:val="18"/>
      <w:szCs w:val="16"/>
    </w:rPr>
  </w:style>
  <w:style w:type="character" w:customStyle="1" w:styleId="14pt">
    <w:name w:val="14pt標楷體"/>
    <w:rPr>
      <w:rFonts w:ascii="標楷體" w:eastAsia="標楷體" w:hAnsi="標楷體" w:cs="標楷體"/>
      <w:sz w:val="28"/>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character" w:customStyle="1" w:styleId="ac">
    <w:name w:val="註解方塊文字 字元"/>
    <w:basedOn w:val="a0"/>
    <w:rPr>
      <w:rFonts w:ascii="Calibri Light" w:eastAsia="新細明體" w:hAnsi="Calibri Light" w:cs="Calibri Light"/>
      <w:sz w:val="18"/>
      <w:szCs w:val="16"/>
    </w:rPr>
  </w:style>
  <w:style w:type="numbering" w:customStyle="1" w:styleId="WWOutlineListStyle5">
    <w:name w:val="WW_OutlineListStyle_5"/>
    <w:basedOn w:val="a2"/>
    <w:pPr>
      <w:numPr>
        <w:numId w:val="2"/>
      </w:numPr>
    </w:pPr>
  </w:style>
  <w:style w:type="numbering" w:customStyle="1" w:styleId="WWOutlineListStyle4">
    <w:name w:val="WW_OutlineListStyle_4"/>
    <w:basedOn w:val="a2"/>
    <w:pPr>
      <w:numPr>
        <w:numId w:val="3"/>
      </w:numPr>
    </w:pPr>
  </w:style>
  <w:style w:type="numbering" w:customStyle="1" w:styleId="WWOutlineListStyle3">
    <w:name w:val="WW_OutlineListStyle_3"/>
    <w:basedOn w:val="a2"/>
    <w:pPr>
      <w:numPr>
        <w:numId w:val="4"/>
      </w:numPr>
    </w:pPr>
  </w:style>
  <w:style w:type="numbering" w:customStyle="1" w:styleId="WWOutlineListStyle2">
    <w:name w:val="WW_OutlineListStyle_2"/>
    <w:basedOn w:val="a2"/>
    <w:pPr>
      <w:numPr>
        <w:numId w:val="5"/>
      </w:numPr>
    </w:pPr>
  </w:style>
  <w:style w:type="numbering" w:customStyle="1" w:styleId="WWOutlineListStyle1">
    <w:name w:val="WW_OutlineListStyle_1"/>
    <w:basedOn w:val="a2"/>
    <w:pPr>
      <w:numPr>
        <w:numId w:val="6"/>
      </w:numPr>
    </w:pPr>
  </w:style>
  <w:style w:type="numbering" w:customStyle="1" w:styleId="WWOutlineListStyle">
    <w:name w:val="WW_OutlineListStyle"/>
    <w:basedOn w:val="a2"/>
    <w:pPr>
      <w:numPr>
        <w:numId w:val="7"/>
      </w:numPr>
    </w:pPr>
  </w:style>
  <w:style w:type="numbering" w:customStyle="1" w:styleId="14pt11">
    <w:name w:val="14pt公文標準【一、(一)1.(1)甲、(甲)】"/>
    <w:basedOn w:val="a2"/>
    <w:pPr>
      <w:numPr>
        <w:numId w:val="8"/>
      </w:numPr>
    </w:pPr>
  </w:style>
  <w:style w:type="numbering" w:customStyle="1" w:styleId="14pt11Aa">
    <w:name w:val="14pt常用編號【一、(一)1.(1)A.a.①】"/>
    <w:basedOn w:val="a2"/>
    <w:pPr>
      <w:numPr>
        <w:numId w:val="9"/>
      </w:numPr>
    </w:pPr>
  </w:style>
  <w:style w:type="numbering" w:customStyle="1" w:styleId="14pt11Aa0">
    <w:name w:val="14pt完整十層【壹、一、(一)1.(1)A.a.甲、(甲)①】"/>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16086/AppData/Local/Temp/EicPrint/&#30332;&#24067;&#20196;pdf&#27284;(&#21547;&#38468;&#20214;).odt/chtdoc14.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chtdoc14.ott</Template>
  <TotalTime>473</TotalTime>
  <Pages>5</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文字文件範本(14點字標楷體)</dc:title>
  <dc:creator>陳巧芬</dc:creator>
  <cp:lastModifiedBy>genius</cp:lastModifiedBy>
  <cp:revision>1</cp:revision>
  <cp:lastPrinted>2024-01-31T10:56:00Z</cp:lastPrinted>
  <dcterms:created xsi:type="dcterms:W3CDTF">2017-12-19T10:41:00Z</dcterms:created>
  <dcterms:modified xsi:type="dcterms:W3CDTF">2024-07-22T08:38:00Z</dcterms:modified>
</cp:coreProperties>
</file>