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F619" w14:textId="0562E9FC" w:rsidR="006E0BFD" w:rsidRPr="006E0BFD" w:rsidRDefault="006E0BFD" w:rsidP="006E0BFD">
      <w:pPr>
        <w:jc w:val="center"/>
        <w:rPr>
          <w:rFonts w:ascii="標楷體" w:eastAsia="標楷體" w:hAnsi="標楷體"/>
        </w:rPr>
      </w:pPr>
      <w:r w:rsidRPr="006E0BFD">
        <w:rPr>
          <w:rFonts w:ascii="標楷體" w:eastAsia="標楷體" w:hAnsi="標楷體" w:hint="eastAsia"/>
        </w:rPr>
        <w:t>有關是否函知</w:t>
      </w:r>
      <w:proofErr w:type="gramStart"/>
      <w:r w:rsidRPr="006E0BFD">
        <w:rPr>
          <w:rFonts w:ascii="標楷體" w:eastAsia="標楷體" w:hAnsi="標楷體" w:hint="eastAsia"/>
        </w:rPr>
        <w:t>衛福部及金管會</w:t>
      </w:r>
      <w:proofErr w:type="gramEnd"/>
      <w:r w:rsidRPr="006E0BFD">
        <w:rPr>
          <w:rFonts w:ascii="標楷體" w:eastAsia="標楷體" w:hAnsi="標楷體" w:hint="eastAsia"/>
        </w:rPr>
        <w:t>保險局等相關單位建議保險公司給投保者填寫的「健康告知」表單中，有關精神疾病的項目內容應詳細分述，徵詢意見彙整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6E0BFD" w:rsidRPr="006E0BFD" w14:paraId="78A33CEA" w14:textId="77777777" w:rsidTr="006E0BFD">
        <w:tc>
          <w:tcPr>
            <w:tcW w:w="1980" w:type="dxa"/>
          </w:tcPr>
          <w:p w14:paraId="6E99AA00" w14:textId="6EC6D3A0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6316" w:type="dxa"/>
          </w:tcPr>
          <w:p w14:paraId="181BAC07" w14:textId="56478FA1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建議意見</w:t>
            </w:r>
          </w:p>
        </w:tc>
      </w:tr>
      <w:tr w:rsidR="006E0BFD" w:rsidRPr="006E0BFD" w14:paraId="13F9D1E0" w14:textId="77777777" w:rsidTr="006E0BFD">
        <w:tc>
          <w:tcPr>
            <w:tcW w:w="1980" w:type="dxa"/>
          </w:tcPr>
          <w:p w14:paraId="2964DBF0" w14:textId="4C491A6F" w:rsidR="006E0BFD" w:rsidRPr="006E0BFD" w:rsidRDefault="003F5EDD" w:rsidP="006E0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甲委員</w:t>
            </w:r>
          </w:p>
        </w:tc>
        <w:tc>
          <w:tcPr>
            <w:tcW w:w="6316" w:type="dxa"/>
          </w:tcPr>
          <w:p w14:paraId="70BEB05A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這個項目屬於臨床醫師開立診療證明書以及就診病歷紀錄範疇，與本學會醫療業務無關，因保險公司的健康告知項目，長久以來造成臨床醫師開立診療證明書的困擾，嚴重影響</w:t>
            </w:r>
            <w:proofErr w:type="gramStart"/>
            <w:r w:rsidRPr="006E0BFD">
              <w:rPr>
                <w:rFonts w:ascii="標楷體" w:eastAsia="標楷體" w:hAnsi="標楷體" w:hint="eastAsia"/>
              </w:rPr>
              <w:t>醫</w:t>
            </w:r>
            <w:proofErr w:type="gramEnd"/>
            <w:r w:rsidRPr="006E0BFD">
              <w:rPr>
                <w:rFonts w:ascii="標楷體" w:eastAsia="標楷體" w:hAnsi="標楷體" w:hint="eastAsia"/>
              </w:rPr>
              <w:t>病關係。</w:t>
            </w:r>
          </w:p>
          <w:p w14:paraId="1D5654A4" w14:textId="5E806C85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基於與臨床相關醫師公會學會的友好與互助關係，本學會支持相關公會或學會的提案，或委請精神醫學會統籌提供專業意見書給金管會與衛福部協調辦理。</w:t>
            </w:r>
          </w:p>
        </w:tc>
      </w:tr>
      <w:tr w:rsidR="006E0BFD" w:rsidRPr="006E0BFD" w14:paraId="115BA554" w14:textId="77777777" w:rsidTr="006E0BFD">
        <w:tc>
          <w:tcPr>
            <w:tcW w:w="1980" w:type="dxa"/>
          </w:tcPr>
          <w:p w14:paraId="71F53DFD" w14:textId="10748052" w:rsidR="006E0BFD" w:rsidRPr="006E0BFD" w:rsidRDefault="003F5EDD" w:rsidP="006E0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乙委員</w:t>
            </w:r>
          </w:p>
        </w:tc>
        <w:tc>
          <w:tcPr>
            <w:tcW w:w="6316" w:type="dxa"/>
          </w:tcPr>
          <w:p w14:paraId="6857F4EA" w14:textId="3C232BAC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為協助要保人於投保時正確告知保險人「</w:t>
            </w:r>
            <w:proofErr w:type="gramStart"/>
            <w:r w:rsidRPr="006E0BFD">
              <w:rPr>
                <w:rFonts w:ascii="標楷體" w:eastAsia="標楷體" w:hAnsi="標楷體" w:hint="eastAsia"/>
              </w:rPr>
              <w:t>既往症</w:t>
            </w:r>
            <w:proofErr w:type="gramEnd"/>
            <w:r w:rsidRPr="006E0BFD">
              <w:rPr>
                <w:rFonts w:ascii="標楷體" w:eastAsia="標楷體" w:hAnsi="標楷體" w:hint="eastAsia"/>
              </w:rPr>
              <w:t>」與「已在疾病」，建議「健康告知書」分述精神疾患診斷系統之主要類別</w:t>
            </w:r>
          </w:p>
        </w:tc>
      </w:tr>
      <w:tr w:rsidR="006E0BFD" w:rsidRPr="006E0BFD" w14:paraId="7AD98AAA" w14:textId="77777777" w:rsidTr="006E0BFD">
        <w:tc>
          <w:tcPr>
            <w:tcW w:w="1980" w:type="dxa"/>
          </w:tcPr>
          <w:p w14:paraId="03E245B6" w14:textId="093422F5" w:rsidR="006E0BFD" w:rsidRPr="003F5EDD" w:rsidRDefault="003F5EDD" w:rsidP="006E0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丙委員</w:t>
            </w:r>
          </w:p>
        </w:tc>
        <w:tc>
          <w:tcPr>
            <w:tcW w:w="6316" w:type="dxa"/>
          </w:tcPr>
          <w:p w14:paraId="709FCA04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我們理解將「健康告知」表單中有關精神疾病的項目內容詳細分述的必要性，以減少病患因擔心影響投保或理賠而不敢求助醫療，從而避免延誤治療。然而，也必須考慮這一改變對皮膚科病人及皮膚科門診的影響。</w:t>
            </w:r>
          </w:p>
          <w:p w14:paraId="3D15FAC2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首先，針對精神疾病詳細分述的要求，可能會增加門診醫師在填寫相關健康告知表單時的工作量，以皮膚科為例，當病人表達與皮膚相關的症狀</w:t>
            </w:r>
            <w:proofErr w:type="gramStart"/>
            <w:r w:rsidRPr="006E0BFD">
              <w:rPr>
                <w:rFonts w:ascii="標楷體" w:eastAsia="標楷體" w:hAnsi="標楷體" w:hint="eastAsia"/>
              </w:rPr>
              <w:t>如癢疹</w:t>
            </w:r>
            <w:proofErr w:type="gramEnd"/>
            <w:r w:rsidRPr="006E0BFD">
              <w:rPr>
                <w:rFonts w:ascii="標楷體" w:eastAsia="標楷體" w:hAnsi="標楷體" w:hint="eastAsia"/>
              </w:rPr>
              <w:t>、皮膚炎等，這些症狀有時可能與精神壓力有關，而且皮膚疾病也會影響病人的情緒、生活品質和精神壓力，這些牽涉到許多複雜的層面，因此臨床上還有許多不同的量表與工具輔助使用，才能確實評核與紀錄。</w:t>
            </w:r>
          </w:p>
          <w:p w14:paraId="0F41AF55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其次，若無標準化的填寫指引，皮膚科醫師在填寫相關表單時可能會面臨無謂的爭議。例如，病人若因皮膚問題伴隨心理壓力而被拒保或理賠，可能會產生醫療糾紛，進而增加門診的法律風險。</w:t>
            </w:r>
          </w:p>
          <w:p w14:paraId="57681E8E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 xml:space="preserve">為避免上述問題，我們建議： </w:t>
            </w:r>
          </w:p>
          <w:p w14:paraId="68519223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 xml:space="preserve">1. 相關單位提供標準化的填寫指引，並進行必要的培訓與宣導，以確保醫師能準確且一致地填寫相關紀錄。 </w:t>
            </w:r>
          </w:p>
          <w:p w14:paraId="65F014F6" w14:textId="50690780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2. 制定明確的投保及理賠條款，讓病患及醫師清楚了解其權利和義務，減少誤解和爭議的發生。</w:t>
            </w:r>
          </w:p>
          <w:p w14:paraId="46610D57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希望</w:t>
            </w:r>
            <w:proofErr w:type="gramStart"/>
            <w:r w:rsidRPr="006E0BFD">
              <w:rPr>
                <w:rFonts w:ascii="標楷體" w:eastAsia="標楷體" w:hAnsi="標楷體" w:hint="eastAsia"/>
              </w:rPr>
              <w:t>衛福部和金管會</w:t>
            </w:r>
            <w:proofErr w:type="gramEnd"/>
            <w:r w:rsidRPr="006E0BFD">
              <w:rPr>
                <w:rFonts w:ascii="標楷體" w:eastAsia="標楷體" w:hAnsi="標楷體" w:hint="eastAsia"/>
              </w:rPr>
              <w:t>保險局能與醫師公會及其他相關專業組織合作，制定詳細的指導原則，確保保險公司的規範與表單內容更加合理且易於理解，同時不增加醫師和病人的負擔。</w:t>
            </w:r>
          </w:p>
          <w:p w14:paraId="1A990174" w14:textId="144992A2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再次感謝台中市醫師公會對此議題的重視，皮膚科醫學會</w:t>
            </w:r>
            <w:r w:rsidRPr="006E0BFD">
              <w:rPr>
                <w:rFonts w:ascii="標楷體" w:eastAsia="標楷體" w:hAnsi="標楷體" w:hint="eastAsia"/>
              </w:rPr>
              <w:lastRenderedPageBreak/>
              <w:t>期待能與各方共同合作，提升國民健康並維持保險的公平性和透明度。</w:t>
            </w:r>
          </w:p>
        </w:tc>
      </w:tr>
      <w:tr w:rsidR="006E0BFD" w:rsidRPr="006E0BFD" w14:paraId="20E559A6" w14:textId="77777777" w:rsidTr="006E0BFD">
        <w:tc>
          <w:tcPr>
            <w:tcW w:w="1980" w:type="dxa"/>
          </w:tcPr>
          <w:p w14:paraId="06A99F8F" w14:textId="3F915503" w:rsidR="006E0BFD" w:rsidRPr="006E0BFD" w:rsidRDefault="003F5EDD" w:rsidP="006E0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丁委員</w:t>
            </w:r>
          </w:p>
        </w:tc>
        <w:tc>
          <w:tcPr>
            <w:tcW w:w="6316" w:type="dxa"/>
          </w:tcPr>
          <w:p w14:paraId="61F4F9E4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保險公司的健康告知表單中，關於精神疾病的項目內容的確過於簡略，精神病，精神官能症等分類難以正確了解被保險人的實際精神問題，的確影響個人就醫尋求幫助的意願，更會延誤治療而影響到個人、家庭與社會，建議可以採取較完整敘述，知道疾病名與治療內容，以保障被保險人的健康權與保險公司風險控管的需求，建議內容可以參考如下：</w:t>
            </w:r>
          </w:p>
          <w:p w14:paraId="0E2387E8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</w:t>
            </w:r>
            <w:r w:rsidRPr="006E0BFD">
              <w:rPr>
                <w:rFonts w:ascii="標楷體" w:eastAsia="標楷體" w:hAnsi="標楷體" w:hint="eastAsia"/>
              </w:rPr>
              <w:tab/>
              <w:t>精神疾病名稱：失眠症、焦慮症、憂鬱症、強迫症、雙相情緒障礙症、</w:t>
            </w:r>
            <w:proofErr w:type="gramStart"/>
            <w:r w:rsidRPr="006E0BFD">
              <w:rPr>
                <w:rFonts w:ascii="標楷體" w:eastAsia="標楷體" w:hAnsi="標楷體" w:hint="eastAsia"/>
              </w:rPr>
              <w:t>思覺失調</w:t>
            </w:r>
            <w:proofErr w:type="gramEnd"/>
            <w:r w:rsidRPr="006E0BFD">
              <w:rPr>
                <w:rFonts w:ascii="標楷體" w:eastAsia="標楷體" w:hAnsi="標楷體" w:hint="eastAsia"/>
              </w:rPr>
              <w:t>症等，請填寫具體的疾病名稱。</w:t>
            </w:r>
          </w:p>
          <w:p w14:paraId="04218E3A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</w:t>
            </w:r>
            <w:r w:rsidRPr="006E0BFD">
              <w:rPr>
                <w:rFonts w:ascii="標楷體" w:eastAsia="標楷體" w:hAnsi="標楷體" w:hint="eastAsia"/>
              </w:rPr>
              <w:tab/>
              <w:t>治療期間：從何時開始到何時結束治療，或者目前是否仍在治療中。</w:t>
            </w:r>
          </w:p>
          <w:p w14:paraId="1659EA5D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</w:t>
            </w:r>
            <w:r w:rsidRPr="006E0BFD">
              <w:rPr>
                <w:rFonts w:ascii="標楷體" w:eastAsia="標楷體" w:hAnsi="標楷體" w:hint="eastAsia"/>
              </w:rPr>
              <w:tab/>
              <w:t>治療內容：住院治療、門診治療、藥物治療、心理治療等，請填寫接受過的治療內容。</w:t>
            </w:r>
          </w:p>
          <w:p w14:paraId="1280BA78" w14:textId="77777777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</w:t>
            </w:r>
            <w:r w:rsidRPr="006E0BFD">
              <w:rPr>
                <w:rFonts w:ascii="標楷體" w:eastAsia="標楷體" w:hAnsi="標楷體" w:hint="eastAsia"/>
              </w:rPr>
              <w:tab/>
              <w:t>服藥狀況：目前正在服用的精神治療藥物名稱和劑量。</w:t>
            </w:r>
          </w:p>
          <w:p w14:paraId="345AF7E8" w14:textId="6F7E4869" w:rsidR="006E0BFD" w:rsidRPr="006E0BFD" w:rsidRDefault="006E0BFD" w:rsidP="006E0BFD">
            <w:pPr>
              <w:rPr>
                <w:rFonts w:ascii="標楷體" w:eastAsia="標楷體" w:hAnsi="標楷體"/>
              </w:rPr>
            </w:pPr>
            <w:r w:rsidRPr="006E0BFD">
              <w:rPr>
                <w:rFonts w:ascii="標楷體" w:eastAsia="標楷體" w:hAnsi="標楷體" w:hint="eastAsia"/>
              </w:rPr>
              <w:t></w:t>
            </w:r>
            <w:r w:rsidRPr="006E0BFD">
              <w:rPr>
                <w:rFonts w:ascii="標楷體" w:eastAsia="標楷體" w:hAnsi="標楷體" w:hint="eastAsia"/>
              </w:rPr>
              <w:tab/>
              <w:t>醫師診斷：診斷為精神疾病的時間、醫師姓名、醫療機構名稱。</w:t>
            </w:r>
          </w:p>
        </w:tc>
      </w:tr>
      <w:tr w:rsidR="008A4476" w:rsidRPr="006E0BFD" w14:paraId="0A86797C" w14:textId="77777777" w:rsidTr="006E0BFD">
        <w:tc>
          <w:tcPr>
            <w:tcW w:w="1980" w:type="dxa"/>
          </w:tcPr>
          <w:p w14:paraId="7B83066F" w14:textId="49914187" w:rsidR="008A4476" w:rsidRPr="006E0BFD" w:rsidRDefault="003F5EDD" w:rsidP="006E0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戊委員</w:t>
            </w:r>
          </w:p>
        </w:tc>
        <w:tc>
          <w:tcPr>
            <w:tcW w:w="6316" w:type="dxa"/>
          </w:tcPr>
          <w:p w14:paraId="67890952" w14:textId="629E93B2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壹、依精神衛生法第3條第1項第一款規定，精神疾病是指思考、情緒、知覺、認知、行為及其他精神狀態表現異常，致其適應生活之功能發生障礙，需給予醫療及照顧之疾病。</w:t>
            </w:r>
          </w:p>
          <w:p w14:paraId="0F378780" w14:textId="77777777" w:rsidR="008A4476" w:rsidRPr="008A4476" w:rsidRDefault="008A4476" w:rsidP="008A4476">
            <w:pPr>
              <w:rPr>
                <w:rFonts w:ascii="標楷體" w:eastAsia="標楷體" w:hAnsi="標楷體"/>
              </w:rPr>
            </w:pPr>
          </w:p>
          <w:p w14:paraId="605604E0" w14:textId="7894F7FD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貳、再依精神衛生法第3條第2項規定，精神疾病之範圍如下：</w:t>
            </w:r>
          </w:p>
          <w:p w14:paraId="5F05FB3C" w14:textId="77777777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一、精神病。</w:t>
            </w:r>
          </w:p>
          <w:p w14:paraId="0384224A" w14:textId="77777777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二、精神官能症。</w:t>
            </w:r>
          </w:p>
          <w:p w14:paraId="7F241D29" w14:textId="77777777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三、物質使用障礙症。</w:t>
            </w:r>
          </w:p>
          <w:p w14:paraId="277FBB83" w14:textId="77777777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四、其他經中央主管機關認定之精神疾病。</w:t>
            </w:r>
          </w:p>
          <w:p w14:paraId="6A494FC1" w14:textId="77777777" w:rsidR="008A4476" w:rsidRPr="008A4476" w:rsidRDefault="008A4476" w:rsidP="008A4476">
            <w:pPr>
              <w:rPr>
                <w:rFonts w:ascii="標楷體" w:eastAsia="標楷體" w:hAnsi="標楷體"/>
              </w:rPr>
            </w:pPr>
          </w:p>
          <w:p w14:paraId="19857DAD" w14:textId="05FAAD6F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參、因「精神病」屬於全民健康保險規定之慢性病之一，故商業保險「健康告知」有關精神疾病之項目，應以</w:t>
            </w:r>
            <w:proofErr w:type="gramStart"/>
            <w:r w:rsidRPr="008A4476">
              <w:rPr>
                <w:rFonts w:ascii="標楷體" w:eastAsia="標楷體" w:hAnsi="標楷體" w:hint="eastAsia"/>
              </w:rPr>
              <w:t>罹</w:t>
            </w:r>
            <w:proofErr w:type="gramEnd"/>
            <w:r w:rsidRPr="008A4476">
              <w:rPr>
                <w:rFonts w:ascii="標楷體" w:eastAsia="標楷體" w:hAnsi="標楷體" w:hint="eastAsia"/>
              </w:rPr>
              <w:t>患「精神病」，且為全民健康保險所規範之重大傷病項目且有永久有效證明為限，不應以投保者</w:t>
            </w:r>
            <w:proofErr w:type="gramStart"/>
            <w:r w:rsidRPr="008A4476">
              <w:rPr>
                <w:rFonts w:ascii="標楷體" w:eastAsia="標楷體" w:hAnsi="標楷體" w:hint="eastAsia"/>
              </w:rPr>
              <w:t>罹</w:t>
            </w:r>
            <w:proofErr w:type="gramEnd"/>
            <w:r w:rsidRPr="008A4476">
              <w:rPr>
                <w:rFonts w:ascii="標楷體" w:eastAsia="標楷體" w:hAnsi="標楷體" w:hint="eastAsia"/>
              </w:rPr>
              <w:t>患「精神疾病」即拒絕</w:t>
            </w:r>
            <w:proofErr w:type="gramStart"/>
            <w:r w:rsidRPr="008A4476">
              <w:rPr>
                <w:rFonts w:ascii="標楷體" w:eastAsia="標楷體" w:hAnsi="標楷體" w:hint="eastAsia"/>
              </w:rPr>
              <w:t>接受其納保</w:t>
            </w:r>
            <w:proofErr w:type="gramEnd"/>
            <w:r w:rsidRPr="008A4476">
              <w:rPr>
                <w:rFonts w:ascii="標楷體" w:eastAsia="標楷體" w:hAnsi="標楷體" w:hint="eastAsia"/>
              </w:rPr>
              <w:t>，以免違反精神衛生法第12條之規定：金融機構對病人提供商業保險、財產信託服務及金融服務</w:t>
            </w:r>
            <w:r w:rsidRPr="008A4476">
              <w:rPr>
                <w:rFonts w:ascii="標楷體" w:eastAsia="標楷體" w:hAnsi="標楷體" w:hint="eastAsia"/>
              </w:rPr>
              <w:lastRenderedPageBreak/>
              <w:t>平等權益之保障。</w:t>
            </w:r>
          </w:p>
          <w:p w14:paraId="3133122B" w14:textId="77777777" w:rsidR="008A4476" w:rsidRPr="008A4476" w:rsidRDefault="008A4476" w:rsidP="008A4476">
            <w:pPr>
              <w:rPr>
                <w:rFonts w:ascii="標楷體" w:eastAsia="標楷體" w:hAnsi="標楷體"/>
              </w:rPr>
            </w:pPr>
          </w:p>
          <w:p w14:paraId="0F4CB791" w14:textId="7CDC2D00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肆、另查全民健康保險重大傷病項目之慢性精神病，包括下列病名：</w:t>
            </w:r>
          </w:p>
          <w:p w14:paraId="0D2AF525" w14:textId="25B74340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（一）失智症(</w:t>
            </w:r>
            <w:proofErr w:type="gramStart"/>
            <w:r w:rsidRPr="008A4476">
              <w:rPr>
                <w:rFonts w:ascii="標楷體" w:eastAsia="標楷體" w:hAnsi="標楷體" w:hint="eastAsia"/>
              </w:rPr>
              <w:t>具器質</w:t>
            </w:r>
            <w:proofErr w:type="gramEnd"/>
            <w:r w:rsidRPr="008A4476">
              <w:rPr>
                <w:rFonts w:ascii="標楷體" w:eastAsia="標楷體" w:hAnsi="標楷體" w:hint="eastAsia"/>
              </w:rPr>
              <w:t>性病態)：ICD-10-CM/PCS碼(2014年版)：F01.50、F01.51、F03.90、F03.91</w:t>
            </w:r>
          </w:p>
          <w:p w14:paraId="440B3A26" w14:textId="029BB79C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（二）</w:t>
            </w:r>
            <w:proofErr w:type="gramStart"/>
            <w:r w:rsidRPr="008A4476">
              <w:rPr>
                <w:rFonts w:ascii="標楷體" w:eastAsia="標楷體" w:hAnsi="標楷體" w:hint="eastAsia"/>
              </w:rPr>
              <w:t>思覺失調</w:t>
            </w:r>
            <w:proofErr w:type="gramEnd"/>
            <w:r w:rsidRPr="008A4476">
              <w:rPr>
                <w:rFonts w:ascii="標楷體" w:eastAsia="標楷體" w:hAnsi="標楷體" w:hint="eastAsia"/>
              </w:rPr>
              <w:t>症：ICD-10-CM/PCS碼(2014年版)：F20.0-F20.9、F25.0-F25.9</w:t>
            </w:r>
          </w:p>
          <w:p w14:paraId="7DC295FF" w14:textId="2ADF887B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（三）情感性疾患：ICD-10-CM/PCS碼(2014年版)：F30.10-F30.13、F30.2-F30.9、F31.0-F31.9、F32.2-F32.9、F33.2-F33.9</w:t>
            </w:r>
          </w:p>
          <w:p w14:paraId="2D0161CE" w14:textId="5C83A1FD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（四）妄想性疾患：ICD-10-CM/PCS碼(2014年版)：F22</w:t>
            </w:r>
          </w:p>
          <w:p w14:paraId="2911F394" w14:textId="40EA4672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（五）自閉性疾患：ICD-10-CM/PCS碼(2014年版)：F84.0</w:t>
            </w:r>
          </w:p>
          <w:p w14:paraId="30BA4324" w14:textId="769D4D97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（六）其他</w:t>
            </w:r>
            <w:proofErr w:type="gramStart"/>
            <w:r w:rsidRPr="008A4476">
              <w:rPr>
                <w:rFonts w:ascii="標楷體" w:eastAsia="標楷體" w:hAnsi="標楷體" w:hint="eastAsia"/>
              </w:rPr>
              <w:t>兒童期崩解</w:t>
            </w:r>
            <w:proofErr w:type="gramEnd"/>
            <w:r w:rsidRPr="008A4476">
              <w:rPr>
                <w:rFonts w:ascii="標楷體" w:eastAsia="標楷體" w:hAnsi="標楷體" w:hint="eastAsia"/>
              </w:rPr>
              <w:t>疾患：ICD-10-CM/PCS碼(2014年版)：F84.3</w:t>
            </w:r>
          </w:p>
          <w:p w14:paraId="74AE95C4" w14:textId="0BB69351" w:rsidR="008A4476" w:rsidRPr="008A4476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（七）其他廣泛性發展疾患(</w:t>
            </w:r>
            <w:proofErr w:type="gramStart"/>
            <w:r w:rsidRPr="008A4476">
              <w:rPr>
                <w:rFonts w:ascii="標楷體" w:eastAsia="標楷體" w:hAnsi="標楷體" w:hint="eastAsia"/>
              </w:rPr>
              <w:t>含亞斯</w:t>
            </w:r>
            <w:proofErr w:type="gramEnd"/>
            <w:r w:rsidRPr="008A4476">
              <w:rPr>
                <w:rFonts w:ascii="標楷體" w:eastAsia="標楷體" w:hAnsi="標楷體" w:hint="eastAsia"/>
              </w:rPr>
              <w:t>伯格症候群)：ICD-10-CM/PCS碼(2014年版)：F84.5、F84.8</w:t>
            </w:r>
          </w:p>
          <w:p w14:paraId="6C9AD266" w14:textId="763E4ED5" w:rsidR="008A4476" w:rsidRPr="006E0BFD" w:rsidRDefault="008A4476" w:rsidP="008A4476">
            <w:pPr>
              <w:rPr>
                <w:rFonts w:ascii="標楷體" w:eastAsia="標楷體" w:hAnsi="標楷體"/>
              </w:rPr>
            </w:pPr>
            <w:r w:rsidRPr="008A4476">
              <w:rPr>
                <w:rFonts w:ascii="標楷體" w:eastAsia="標楷體" w:hAnsi="標楷體" w:hint="eastAsia"/>
              </w:rPr>
              <w:t>（八）未明示之廣泛性發展疾患：ICD-10-CM/PCS碼(2014年版)：F84.9</w:t>
            </w:r>
          </w:p>
        </w:tc>
      </w:tr>
    </w:tbl>
    <w:p w14:paraId="3D5DA852" w14:textId="77777777" w:rsidR="006E0BFD" w:rsidRPr="006E0BFD" w:rsidRDefault="006E0BFD" w:rsidP="006E0BFD"/>
    <w:sectPr w:rsidR="006E0BFD" w:rsidRPr="006E0B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9599" w14:textId="77777777" w:rsidR="009D0C9F" w:rsidRDefault="009D0C9F" w:rsidP="001641E0">
      <w:r>
        <w:separator/>
      </w:r>
    </w:p>
  </w:endnote>
  <w:endnote w:type="continuationSeparator" w:id="0">
    <w:p w14:paraId="75F41437" w14:textId="77777777" w:rsidR="009D0C9F" w:rsidRDefault="009D0C9F" w:rsidP="0016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EC21" w14:textId="77777777" w:rsidR="009D0C9F" w:rsidRDefault="009D0C9F" w:rsidP="001641E0">
      <w:r>
        <w:separator/>
      </w:r>
    </w:p>
  </w:footnote>
  <w:footnote w:type="continuationSeparator" w:id="0">
    <w:p w14:paraId="7DB05723" w14:textId="77777777" w:rsidR="009D0C9F" w:rsidRDefault="009D0C9F" w:rsidP="00164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FD"/>
    <w:rsid w:val="001641E0"/>
    <w:rsid w:val="003F5EDD"/>
    <w:rsid w:val="006E0BFD"/>
    <w:rsid w:val="008A4476"/>
    <w:rsid w:val="009D0C9F"/>
    <w:rsid w:val="00A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23B71"/>
  <w15:chartTrackingRefBased/>
  <w15:docId w15:val="{B616C3ED-78D1-4528-AA7B-965B1D5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 旻桓</dc:creator>
  <cp:keywords/>
  <dc:description/>
  <cp:lastModifiedBy>謝 旻桓</cp:lastModifiedBy>
  <cp:revision>2</cp:revision>
  <dcterms:created xsi:type="dcterms:W3CDTF">2024-09-02T06:58:00Z</dcterms:created>
  <dcterms:modified xsi:type="dcterms:W3CDTF">2024-09-02T06:58:00Z</dcterms:modified>
</cp:coreProperties>
</file>