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CF" w:rsidRDefault="00B520FA">
      <w:pPr>
        <w:pStyle w:val="a7"/>
        <w:ind w:left="539" w:hanging="539"/>
        <w:jc w:val="center"/>
        <w:rPr>
          <w:sz w:val="40"/>
          <w:szCs w:val="32"/>
        </w:rPr>
      </w:pPr>
      <w:r>
        <w:rPr>
          <w:sz w:val="40"/>
          <w:szCs w:val="32"/>
        </w:rPr>
        <w:t>___(</w:t>
      </w:r>
      <w:r>
        <w:rPr>
          <w:sz w:val="40"/>
          <w:szCs w:val="32"/>
        </w:rPr>
        <w:t>團體名稱</w:t>
      </w:r>
      <w:r>
        <w:rPr>
          <w:sz w:val="40"/>
          <w:szCs w:val="32"/>
        </w:rPr>
        <w:t>)___</w:t>
      </w:r>
      <w:r>
        <w:rPr>
          <w:sz w:val="40"/>
          <w:szCs w:val="32"/>
        </w:rPr>
        <w:t>對於聽力所設置標準修正草案條文建議表</w:t>
      </w:r>
    </w:p>
    <w:tbl>
      <w:tblPr>
        <w:tblW w:w="14029" w:type="dxa"/>
        <w:tblLayout w:type="fixed"/>
        <w:tblCellMar>
          <w:left w:w="10" w:type="dxa"/>
          <w:right w:w="10" w:type="dxa"/>
        </w:tblCellMar>
        <w:tblLook w:val="0000" w:firstRow="0" w:lastRow="0" w:firstColumn="0" w:lastColumn="0" w:noHBand="0" w:noVBand="0"/>
      </w:tblPr>
      <w:tblGrid>
        <w:gridCol w:w="3507"/>
        <w:gridCol w:w="3507"/>
        <w:gridCol w:w="3507"/>
        <w:gridCol w:w="3508"/>
      </w:tblGrid>
      <w:tr w:rsidR="00042BCF">
        <w:tblPrEx>
          <w:tblCellMar>
            <w:top w:w="0" w:type="dxa"/>
            <w:bottom w:w="0" w:type="dxa"/>
          </w:tblCellMar>
        </w:tblPrEx>
        <w:trPr>
          <w:trHeight w:val="401"/>
        </w:trPr>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BCF" w:rsidRDefault="00B520FA">
            <w:pPr>
              <w:pStyle w:val="a7"/>
              <w:jc w:val="center"/>
            </w:pPr>
            <w:r>
              <w:t>修正條文</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BCF" w:rsidRDefault="00B520FA">
            <w:pPr>
              <w:pStyle w:val="a7"/>
              <w:jc w:val="center"/>
            </w:pPr>
            <w:r>
              <w:t>現行條文</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2BCF" w:rsidRDefault="00B520FA">
            <w:pPr>
              <w:pStyle w:val="a7"/>
              <w:jc w:val="center"/>
            </w:pPr>
            <w:r>
              <w:t>修正理由</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2BCF" w:rsidRDefault="00B520FA">
            <w:pPr>
              <w:pStyle w:val="a7"/>
              <w:jc w:val="center"/>
            </w:pPr>
            <w:r>
              <w:t>建議</w:t>
            </w:r>
          </w:p>
        </w:tc>
      </w:tr>
      <w:tr w:rsidR="00042BCF">
        <w:tblPrEx>
          <w:tblCellMar>
            <w:top w:w="0" w:type="dxa"/>
            <w:bottom w:w="0" w:type="dxa"/>
          </w:tblCellMar>
        </w:tblPrEx>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第一條　本標準依聽力師法第十六條第三項規定訂定之。</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第一條　本標準依聽力師法第十六條第三項規定訂定之。</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jc w:val="both"/>
            </w:pPr>
            <w:r>
              <w:t>本條未修正。</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jc w:val="both"/>
            </w:pPr>
          </w:p>
        </w:tc>
      </w:tr>
      <w:tr w:rsidR="00042BCF">
        <w:tblPrEx>
          <w:tblCellMar>
            <w:top w:w="0" w:type="dxa"/>
            <w:bottom w:w="0" w:type="dxa"/>
          </w:tblCellMar>
        </w:tblPrEx>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第二條</w:t>
            </w:r>
            <w:r>
              <w:t xml:space="preserve">  </w:t>
            </w:r>
            <w:r>
              <w:t>聽力所，應能提供下列二款以上之聽力項目：</w:t>
            </w:r>
          </w:p>
          <w:p w:rsidR="00042BCF" w:rsidRDefault="00B520FA">
            <w:pPr>
              <w:pStyle w:val="a8"/>
              <w:ind w:left="720" w:hanging="480"/>
            </w:pPr>
            <w:r>
              <w:t>一、聽覺系統評估。</w:t>
            </w:r>
          </w:p>
          <w:p w:rsidR="00042BCF" w:rsidRDefault="00B520FA">
            <w:pPr>
              <w:pStyle w:val="a8"/>
              <w:ind w:left="720" w:hanging="480"/>
            </w:pPr>
            <w:r>
              <w:t>二、非器質性聽覺評估。</w:t>
            </w:r>
          </w:p>
          <w:p w:rsidR="00042BCF" w:rsidRDefault="00B520FA">
            <w:pPr>
              <w:pStyle w:val="a8"/>
              <w:ind w:left="720" w:hanging="480"/>
            </w:pPr>
            <w:r>
              <w:t>三、內耳前庭功能評估。</w:t>
            </w:r>
          </w:p>
          <w:p w:rsidR="00042BCF" w:rsidRDefault="00B520FA">
            <w:pPr>
              <w:pStyle w:val="a8"/>
              <w:ind w:left="720" w:hanging="480"/>
            </w:pPr>
            <w:r>
              <w:t>四、聽覺輔助器使用評估。</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042BCF">
            <w:pPr>
              <w:pStyle w:val="a7"/>
              <w:ind w:left="480" w:hanging="480"/>
              <w:jc w:val="both"/>
            </w:pP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ind w:left="480" w:hanging="480"/>
              <w:jc w:val="both"/>
              <w:rPr>
                <w:u w:val="single"/>
              </w:rPr>
            </w:pPr>
            <w:r>
              <w:rPr>
                <w:u w:val="single"/>
              </w:rPr>
              <w:t>一、本條新增。</w:t>
            </w:r>
          </w:p>
          <w:p w:rsidR="00042BCF" w:rsidRDefault="00B520FA">
            <w:pPr>
              <w:pStyle w:val="a7"/>
              <w:ind w:left="480" w:hanging="480"/>
              <w:jc w:val="both"/>
            </w:pPr>
            <w:r>
              <w:t>二、為執行聽覺輔助器驗配，從事聽覺輔助器評估調整所必要之聽力測試，爰新增聽力所提供聽力評估之核心項目。</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ind w:left="480" w:hanging="480"/>
              <w:jc w:val="both"/>
              <w:rPr>
                <w:u w:val="single"/>
              </w:rPr>
            </w:pPr>
          </w:p>
        </w:tc>
      </w:tr>
      <w:tr w:rsidR="00042BCF">
        <w:tblPrEx>
          <w:tblCellMar>
            <w:top w:w="0" w:type="dxa"/>
            <w:bottom w:w="0" w:type="dxa"/>
          </w:tblCellMar>
        </w:tblPrEx>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第三條　聽力所應有明顯區隔之獨立作業場所及出入口；其設施應符合下列規定：</w:t>
            </w:r>
          </w:p>
          <w:p w:rsidR="00042BCF" w:rsidRDefault="00B520FA">
            <w:pPr>
              <w:pStyle w:val="a8"/>
              <w:ind w:left="720" w:hanging="480"/>
            </w:pPr>
            <w:r>
              <w:t>一、總樓地板面積二十平方公尺以上。</w:t>
            </w:r>
          </w:p>
          <w:p w:rsidR="00042BCF" w:rsidRDefault="00B520FA">
            <w:pPr>
              <w:pStyle w:val="a8"/>
              <w:ind w:left="720" w:hanging="480"/>
            </w:pPr>
            <w:r>
              <w:t>二、聽力檢查室：室內全頻噪音量應具三十分貝（</w:t>
            </w:r>
            <w:r>
              <w:t>dBA</w:t>
            </w:r>
            <w:r>
              <w:t>）以下</w:t>
            </w:r>
            <w:r>
              <w:rPr>
                <w:u w:val="single"/>
              </w:rPr>
              <w:t>，並具閃光警示器裝置</w:t>
            </w:r>
            <w:r>
              <w:t>。</w:t>
            </w:r>
          </w:p>
          <w:p w:rsidR="00042BCF" w:rsidRDefault="00B520FA">
            <w:pPr>
              <w:pStyle w:val="a8"/>
              <w:ind w:left="720" w:hanging="480"/>
            </w:pPr>
            <w:r>
              <w:t>三、聽力檢查儀：</w:t>
            </w:r>
          </w:p>
          <w:p w:rsidR="00042BCF" w:rsidRDefault="00B520FA">
            <w:pPr>
              <w:pStyle w:val="a8"/>
              <w:ind w:left="1020" w:hanging="1020"/>
            </w:pPr>
            <w:r>
              <w:t xml:space="preserve">　　</w:t>
            </w:r>
            <w:r>
              <w:t>(</w:t>
            </w:r>
            <w:r>
              <w:t>一</w:t>
            </w:r>
            <w:r>
              <w:t xml:space="preserve">) </w:t>
            </w:r>
            <w:r>
              <w:t>領有</w:t>
            </w:r>
            <w:r>
              <w:rPr>
                <w:u w:val="single"/>
              </w:rPr>
              <w:t>衛生福利部</w:t>
            </w:r>
            <w:r>
              <w:t>醫療器材許可證。</w:t>
            </w:r>
          </w:p>
          <w:p w:rsidR="00042BCF" w:rsidRDefault="00B520FA">
            <w:pPr>
              <w:pStyle w:val="a8"/>
              <w:ind w:left="1020" w:hanging="1020"/>
            </w:pPr>
            <w:r>
              <w:t xml:space="preserve">　　</w:t>
            </w:r>
            <w:r>
              <w:t>(</w:t>
            </w:r>
            <w:r>
              <w:t>二</w:t>
            </w:r>
            <w:r>
              <w:t xml:space="preserve">) </w:t>
            </w:r>
            <w:r>
              <w:t>至少含氣導、骨導、遮蔽之檢查功能。</w:t>
            </w:r>
          </w:p>
          <w:p w:rsidR="00042BCF" w:rsidRDefault="00B520FA">
            <w:pPr>
              <w:pStyle w:val="a8"/>
              <w:ind w:left="720" w:hanging="480"/>
            </w:pPr>
            <w:r>
              <w:t>四、設有等候空間。</w:t>
            </w:r>
          </w:p>
          <w:p w:rsidR="00042BCF" w:rsidRDefault="00B520FA">
            <w:pPr>
              <w:pStyle w:val="a8"/>
              <w:ind w:left="720" w:hanging="480"/>
            </w:pPr>
            <w:r>
              <w:lastRenderedPageBreak/>
              <w:t>五、具執行業務紀錄之保存空間。</w:t>
            </w:r>
          </w:p>
          <w:p w:rsidR="00042BCF" w:rsidRDefault="00B520FA">
            <w:pPr>
              <w:pStyle w:val="a8"/>
              <w:ind w:left="720" w:hanging="480"/>
            </w:pPr>
            <w:r>
              <w:rPr>
                <w:u w:val="single"/>
              </w:rPr>
              <w:t>六、</w:t>
            </w:r>
            <w:r>
              <w:rPr>
                <w:u w:val="single"/>
              </w:rPr>
              <w:t>設有促進與聽力障礙者溝通之無障礙設施。</w:t>
            </w:r>
          </w:p>
          <w:p w:rsidR="00042BCF" w:rsidRDefault="00B520FA">
            <w:pPr>
              <w:pStyle w:val="a8"/>
              <w:ind w:left="720" w:hanging="480"/>
              <w:rPr>
                <w:u w:val="single"/>
              </w:rPr>
            </w:pPr>
            <w:r>
              <w:rPr>
                <w:u w:val="single"/>
              </w:rPr>
              <w:t>七、手部衛生設備。</w:t>
            </w:r>
          </w:p>
          <w:p w:rsidR="00042BCF" w:rsidRDefault="00B520FA">
            <w:pPr>
              <w:pStyle w:val="a8"/>
              <w:ind w:left="720" w:hanging="480"/>
              <w:rPr>
                <w:u w:val="single"/>
              </w:rPr>
            </w:pPr>
            <w:r>
              <w:rPr>
                <w:u w:val="single"/>
              </w:rPr>
              <w:t>八、清潔、消毒及醫療廢棄物處理之設施、設備。</w:t>
            </w:r>
          </w:p>
          <w:p w:rsidR="00042BCF" w:rsidRDefault="00B520FA">
            <w:pPr>
              <w:pStyle w:val="a8"/>
              <w:ind w:left="720" w:hanging="480"/>
              <w:rPr>
                <w:u w:val="single"/>
              </w:rPr>
            </w:pPr>
            <w:r>
              <w:rPr>
                <w:u w:val="single"/>
              </w:rPr>
              <w:t>九、設有廁所盥洗室，並具備供行動不便者使用之扶手。</w:t>
            </w:r>
          </w:p>
          <w:p w:rsidR="00042BCF" w:rsidRDefault="00B520FA">
            <w:pPr>
              <w:pStyle w:val="a8"/>
              <w:ind w:left="720" w:hanging="480"/>
              <w:rPr>
                <w:u w:val="single"/>
              </w:rPr>
            </w:pPr>
            <w:r>
              <w:rPr>
                <w:u w:val="single"/>
              </w:rPr>
              <w:t>十、具符合建築及消防安全相關法規之設施。</w:t>
            </w:r>
          </w:p>
          <w:p w:rsidR="00042BCF" w:rsidRDefault="00B520FA">
            <w:pPr>
              <w:pStyle w:val="a8"/>
              <w:ind w:firstLine="498"/>
              <w:rPr>
                <w:u w:val="single"/>
              </w:rPr>
            </w:pPr>
            <w:r>
              <w:rPr>
                <w:u w:val="single"/>
              </w:rPr>
              <w:t>本標準中華民國ｏ年ｏ月ｏ日修正施行前已設立之聽力所，得免設前項第九款廁所盥洗室。</w:t>
            </w:r>
          </w:p>
          <w:p w:rsidR="00042BCF" w:rsidRDefault="00B520FA">
            <w:pPr>
              <w:pStyle w:val="a8"/>
              <w:ind w:firstLine="498"/>
              <w:rPr>
                <w:u w:val="single"/>
              </w:rPr>
            </w:pPr>
            <w:r>
              <w:rPr>
                <w:u w:val="single"/>
              </w:rPr>
              <w:t>依第四條設立之聽力所，從其規定。</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lastRenderedPageBreak/>
              <w:t>第二條　聽力所應有明顯區隔之獨立作業場所及出入口。</w:t>
            </w:r>
          </w:p>
          <w:p w:rsidR="00042BCF" w:rsidRDefault="00042BCF">
            <w:pPr>
              <w:pStyle w:val="a8"/>
            </w:pPr>
          </w:p>
          <w:p w:rsidR="00042BCF" w:rsidRDefault="00B520FA">
            <w:pPr>
              <w:pStyle w:val="a8"/>
            </w:pPr>
            <w:r>
              <w:t>第三條</w:t>
            </w:r>
            <w:r>
              <w:t xml:space="preserve">  </w:t>
            </w:r>
            <w:r>
              <w:t>聽力所之總樓地板面積，不得小於二十平方公尺。合併設置語言治療部門者，總樓地板面積，不得小於三十平方公尺。</w:t>
            </w:r>
          </w:p>
          <w:p w:rsidR="00042BCF" w:rsidRDefault="00B520FA">
            <w:pPr>
              <w:pStyle w:val="a8"/>
              <w:ind w:firstLine="503"/>
              <w:rPr>
                <w:u w:val="single"/>
              </w:rPr>
            </w:pPr>
            <w:r>
              <w:rPr>
                <w:u w:val="single"/>
              </w:rPr>
              <w:t>聽力所並設置語言治療部門者</w:t>
            </w:r>
            <w:r>
              <w:rPr>
                <w:u w:val="single"/>
              </w:rPr>
              <w:t>，應另置具執業登記之語言治療師一人以上，及符合語言治療所設置標準之規定。</w:t>
            </w:r>
          </w:p>
          <w:p w:rsidR="00042BCF" w:rsidRDefault="00B520FA">
            <w:pPr>
              <w:pStyle w:val="a8"/>
              <w:ind w:firstLine="503"/>
              <w:rPr>
                <w:u w:val="single"/>
              </w:rPr>
            </w:pPr>
            <w:r>
              <w:rPr>
                <w:u w:val="single"/>
              </w:rPr>
              <w:t>前項聽力所，其市招得註明設置語言治療部門。</w:t>
            </w:r>
          </w:p>
          <w:p w:rsidR="00042BCF" w:rsidRDefault="00042BCF">
            <w:pPr>
              <w:pStyle w:val="a8"/>
            </w:pPr>
          </w:p>
          <w:p w:rsidR="00042BCF" w:rsidRDefault="00B520FA">
            <w:pPr>
              <w:pStyle w:val="a8"/>
            </w:pPr>
            <w:r>
              <w:t>第四條　聽力所應有下列設施：</w:t>
            </w:r>
          </w:p>
          <w:p w:rsidR="00042BCF" w:rsidRDefault="00B520FA">
            <w:pPr>
              <w:pStyle w:val="a8"/>
              <w:ind w:left="720" w:hanging="480"/>
            </w:pPr>
            <w:r>
              <w:t>一、聽力檢查室：室內全頻噪音量應具三十分貝（</w:t>
            </w:r>
            <w:r>
              <w:t>dBA</w:t>
            </w:r>
            <w:r>
              <w:t>）以下。</w:t>
            </w:r>
          </w:p>
          <w:p w:rsidR="00042BCF" w:rsidRDefault="00B520FA">
            <w:pPr>
              <w:pStyle w:val="a8"/>
              <w:ind w:left="720" w:hanging="480"/>
            </w:pPr>
            <w:r>
              <w:t>二、聽力檢查儀：</w:t>
            </w:r>
          </w:p>
          <w:p w:rsidR="00042BCF" w:rsidRDefault="00B520FA">
            <w:pPr>
              <w:pStyle w:val="a8"/>
              <w:ind w:left="720" w:hanging="480"/>
            </w:pPr>
            <w:r>
              <w:t xml:space="preserve">　　</w:t>
            </w:r>
            <w:r>
              <w:t>(</w:t>
            </w:r>
            <w:r>
              <w:t>一</w:t>
            </w:r>
            <w:r>
              <w:t xml:space="preserve">) </w:t>
            </w:r>
            <w:r>
              <w:t>領有行政院衛生署醫療器材許可證。</w:t>
            </w:r>
          </w:p>
          <w:p w:rsidR="00042BCF" w:rsidRDefault="00B520FA">
            <w:pPr>
              <w:pStyle w:val="a8"/>
              <w:ind w:left="720" w:hanging="480"/>
            </w:pPr>
            <w:r>
              <w:t xml:space="preserve">    (</w:t>
            </w:r>
            <w:r>
              <w:t>二</w:t>
            </w:r>
            <w:r>
              <w:t>)</w:t>
            </w:r>
            <w:r>
              <w:t>應至少含氣導、骨導、遮蔽之檢查功能。</w:t>
            </w:r>
          </w:p>
          <w:p w:rsidR="00042BCF" w:rsidRDefault="00B520FA">
            <w:pPr>
              <w:pStyle w:val="a8"/>
              <w:ind w:left="720" w:hanging="480"/>
            </w:pPr>
            <w:r>
              <w:t>三、應有等候空間。</w:t>
            </w:r>
          </w:p>
          <w:p w:rsidR="00042BCF" w:rsidRDefault="00B520FA">
            <w:pPr>
              <w:pStyle w:val="a8"/>
              <w:ind w:left="720" w:hanging="480"/>
            </w:pPr>
            <w:r>
              <w:t>四、應有保存執行業務紀錄之設施。</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ind w:left="480" w:hanging="480"/>
              <w:jc w:val="both"/>
            </w:pPr>
            <w:r>
              <w:lastRenderedPageBreak/>
              <w:t>一、條次變更。</w:t>
            </w:r>
          </w:p>
          <w:p w:rsidR="00042BCF" w:rsidRDefault="00B520FA">
            <w:pPr>
              <w:pStyle w:val="a7"/>
              <w:ind w:left="480" w:hanging="480"/>
              <w:jc w:val="both"/>
            </w:pPr>
            <w:r>
              <w:t>二、將現行條文第三條第一項及第四條移列併入修正條文第四條第一項並酌作文字修正，另增列聽力所應有之設施。</w:t>
            </w:r>
          </w:p>
          <w:p w:rsidR="00042BCF" w:rsidRDefault="00B520FA">
            <w:pPr>
              <w:pStyle w:val="a7"/>
              <w:ind w:left="480" w:hanging="480"/>
              <w:jc w:val="both"/>
            </w:pPr>
            <w:r>
              <w:t>三、現行條文第三條第二項及第三項規定，基於各醫事機構之負責人應負其專業領域上督導之責，落實專業責任之獨立性，爰予刪除。</w:t>
            </w:r>
          </w:p>
          <w:p w:rsidR="00042BCF" w:rsidRDefault="00B520FA">
            <w:pPr>
              <w:pStyle w:val="a7"/>
              <w:ind w:left="480" w:hanging="480"/>
              <w:jc w:val="both"/>
            </w:pPr>
            <w:r>
              <w:t>三、考量既有之聽力所配合增設廁所盥洗室有其困難度（包括廁所管線、使用空間、隔間均須變更），爰增訂第二</w:t>
            </w:r>
            <w:r>
              <w:lastRenderedPageBreak/>
              <w:t>項。</w:t>
            </w:r>
          </w:p>
          <w:p w:rsidR="00042BCF" w:rsidRDefault="00B520FA">
            <w:pPr>
              <w:pStyle w:val="a7"/>
              <w:ind w:left="480" w:hanging="480"/>
              <w:jc w:val="both"/>
            </w:pPr>
            <w:r>
              <w:t>二、配合第四條明訂聽力所得與販售助聽器等醫療輔具業者之門市同址設立之規定，增訂第三項。</w:t>
            </w:r>
          </w:p>
          <w:p w:rsidR="00042BCF" w:rsidRDefault="00042BCF">
            <w:pPr>
              <w:pStyle w:val="a7"/>
              <w:ind w:left="480" w:hanging="480"/>
              <w:jc w:val="both"/>
            </w:pPr>
            <w:bookmarkStart w:id="0" w:name="_GoBack"/>
            <w:bookmarkEnd w:id="0"/>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ind w:left="480" w:hanging="480"/>
              <w:jc w:val="both"/>
            </w:pPr>
          </w:p>
        </w:tc>
      </w:tr>
      <w:tr w:rsidR="00042BCF">
        <w:tblPrEx>
          <w:tblCellMar>
            <w:top w:w="0" w:type="dxa"/>
            <w:bottom w:w="0" w:type="dxa"/>
          </w:tblCellMar>
        </w:tblPrEx>
        <w:trPr>
          <w:trHeight w:val="6161"/>
        </w:trPr>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lastRenderedPageBreak/>
              <w:t>第四條　設立於助聽器公司（商號）內之聽力所，其設施應符合下列規定：</w:t>
            </w:r>
          </w:p>
          <w:p w:rsidR="00042BCF" w:rsidRDefault="00B520FA">
            <w:pPr>
              <w:pStyle w:val="a8"/>
              <w:ind w:left="720" w:hanging="480"/>
            </w:pPr>
            <w:r>
              <w:t>一、總樓地板面積十平方公尺以上。</w:t>
            </w:r>
          </w:p>
          <w:p w:rsidR="00042BCF" w:rsidRDefault="00B520FA">
            <w:pPr>
              <w:pStyle w:val="a8"/>
              <w:ind w:left="720" w:hanging="480"/>
            </w:pPr>
            <w:r>
              <w:t>二、設有前條第一項第二款、第三款、第五款、第七款設施、設備。</w:t>
            </w:r>
          </w:p>
          <w:p w:rsidR="00042BCF" w:rsidRDefault="00B520FA">
            <w:pPr>
              <w:pStyle w:val="a8"/>
              <w:ind w:left="720" w:hanging="480"/>
            </w:pPr>
            <w:r>
              <w:t>三、前條第一項第四款、第六款</w:t>
            </w:r>
            <w:r>
              <w:t>及第八款至第十款設施，得與助聽器公司（商號）共同設置。</w:t>
            </w:r>
          </w:p>
          <w:p w:rsidR="00042BCF" w:rsidRDefault="00B520FA">
            <w:pPr>
              <w:pStyle w:val="a8"/>
              <w:ind w:firstLine="498"/>
            </w:pPr>
            <w:r>
              <w:t>前項聽力所，不以獨立出入口為限。</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042BCF">
            <w:pPr>
              <w:pStyle w:val="a7"/>
              <w:ind w:left="480" w:hanging="480"/>
              <w:jc w:val="both"/>
            </w:pPr>
          </w:p>
          <w:p w:rsidR="00042BCF" w:rsidRDefault="00042BCF">
            <w:pPr>
              <w:pStyle w:val="a7"/>
              <w:ind w:left="480" w:hanging="480"/>
              <w:jc w:val="both"/>
            </w:pP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ind w:left="480" w:hanging="480"/>
              <w:jc w:val="both"/>
            </w:pPr>
            <w:r>
              <w:t>一、本條新增。</w:t>
            </w:r>
          </w:p>
          <w:p w:rsidR="00042BCF" w:rsidRDefault="00B520FA">
            <w:pPr>
              <w:pStyle w:val="a7"/>
              <w:ind w:left="480" w:hanging="480"/>
              <w:jc w:val="both"/>
            </w:pPr>
            <w:r>
              <w:t>二、考量助聽器等聽覺輔助器之配戴，涉及醫療專業，為協助消費者選購符合自身聽力需求之聽覺輔具，使聽力所得就近與販售聽覺相關輔具之醫療輔具業者門市同址設立，爰新增本條。</w:t>
            </w:r>
          </w:p>
          <w:p w:rsidR="00042BCF" w:rsidRDefault="00B520FA">
            <w:pPr>
              <w:pStyle w:val="a7"/>
              <w:ind w:left="480" w:hanging="480"/>
              <w:jc w:val="both"/>
            </w:pPr>
            <w:r>
              <w:t>三、此類型聽力所與獨立型聽力所不同，爰訂明出入口及室內應有空間與設施設備規定</w:t>
            </w:r>
            <w:r>
              <w:t>(</w:t>
            </w:r>
            <w:r>
              <w:t>包括使用空間面積應至少十平方公尺以上，且設有聽力檢查室、聽力檢查儀、執行業務紀錄之保存空間、手部衛生設備等</w:t>
            </w:r>
            <w:r>
              <w:t>)</w:t>
            </w:r>
            <w:r>
              <w:t>；另等候空間、設有促進與聽力障礙者溝通之無障礙設施等，得與助聽器（商號）共同設置。</w:t>
            </w:r>
          </w:p>
          <w:p w:rsidR="00042BCF" w:rsidRDefault="00042BCF">
            <w:pPr>
              <w:pStyle w:val="a7"/>
              <w:ind w:left="480" w:hanging="480"/>
              <w:jc w:val="both"/>
            </w:pPr>
          </w:p>
          <w:p w:rsidR="00042BCF" w:rsidRDefault="00042BCF">
            <w:pPr>
              <w:pStyle w:val="a7"/>
              <w:ind w:left="480" w:hanging="480"/>
              <w:jc w:val="both"/>
            </w:pP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ind w:left="480" w:hanging="480"/>
              <w:jc w:val="both"/>
            </w:pPr>
          </w:p>
        </w:tc>
      </w:tr>
      <w:tr w:rsidR="00042BCF">
        <w:tblPrEx>
          <w:tblCellMar>
            <w:top w:w="0" w:type="dxa"/>
            <w:bottom w:w="0" w:type="dxa"/>
          </w:tblCellMar>
        </w:tblPrEx>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第五條　聽力所得與其他領有開業執照之醫事機構聯合設置於同一場所，使用共同設施、設備，分別執行業務。</w:t>
            </w:r>
          </w:p>
          <w:p w:rsidR="00042BCF" w:rsidRDefault="00B520FA">
            <w:pPr>
              <w:pStyle w:val="a8"/>
              <w:ind w:firstLine="498"/>
            </w:pPr>
            <w:r>
              <w:t>前項同一場所為同棟使用數樓層者，各樓層應為連續使用。</w:t>
            </w:r>
          </w:p>
          <w:p w:rsidR="00042BCF" w:rsidRDefault="00B520FA">
            <w:pPr>
              <w:pStyle w:val="a8"/>
              <w:ind w:firstLine="498"/>
            </w:pPr>
            <w:r>
              <w:lastRenderedPageBreak/>
              <w:t>第一項共同設施、設備如下，並得登記於任一家醫事機構，負共同責任：</w:t>
            </w:r>
          </w:p>
          <w:p w:rsidR="00042BCF" w:rsidRDefault="00B520FA">
            <w:pPr>
              <w:pStyle w:val="a8"/>
              <w:ind w:left="720" w:hanging="480"/>
            </w:pPr>
            <w:r>
              <w:t>一、招牌。</w:t>
            </w:r>
          </w:p>
          <w:p w:rsidR="00042BCF" w:rsidRDefault="00B520FA">
            <w:pPr>
              <w:pStyle w:val="a8"/>
              <w:ind w:left="720" w:hanging="480"/>
            </w:pPr>
            <w:r>
              <w:t>二、等候空間。</w:t>
            </w:r>
          </w:p>
          <w:p w:rsidR="00042BCF" w:rsidRDefault="00B520FA">
            <w:pPr>
              <w:pStyle w:val="a8"/>
              <w:ind w:left="720" w:hanging="480"/>
            </w:pPr>
            <w:r>
              <w:t>三、廁所盥洗室。</w:t>
            </w:r>
          </w:p>
          <w:p w:rsidR="00042BCF" w:rsidRDefault="00B520FA">
            <w:pPr>
              <w:pStyle w:val="a8"/>
              <w:ind w:left="720" w:hanging="480"/>
            </w:pPr>
            <w:r>
              <w:t>四、執行業務紀錄之保存空間。</w:t>
            </w:r>
          </w:p>
          <w:p w:rsidR="00042BCF" w:rsidRDefault="00B520FA">
            <w:pPr>
              <w:pStyle w:val="a8"/>
              <w:ind w:left="720" w:hanging="480"/>
            </w:pPr>
            <w:r>
              <w:t>五、清潔、消毒及醫療廢棄物處理之設施、設備。</w:t>
            </w:r>
          </w:p>
          <w:p w:rsidR="00042BCF" w:rsidRDefault="00B520FA">
            <w:pPr>
              <w:pStyle w:val="a8"/>
              <w:ind w:left="720" w:hanging="480"/>
            </w:pPr>
            <w:r>
              <w:t>六、共同使用區域內之消防安全設施、設備。</w:t>
            </w:r>
          </w:p>
          <w:p w:rsidR="00042BCF" w:rsidRDefault="00B520FA">
            <w:pPr>
              <w:pStyle w:val="a8"/>
              <w:ind w:firstLine="498"/>
            </w:pPr>
            <w:r>
              <w:t>前項各款以外之設施、設備，應獨立設置。</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042BCF">
            <w:pPr>
              <w:pStyle w:val="a7"/>
              <w:ind w:left="480" w:hanging="480"/>
              <w:jc w:val="both"/>
            </w:pP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ind w:left="480" w:hanging="480"/>
              <w:jc w:val="both"/>
            </w:pPr>
            <w:r>
              <w:t>一、本條新增。</w:t>
            </w:r>
          </w:p>
          <w:p w:rsidR="00042BCF" w:rsidRDefault="00B520FA">
            <w:pPr>
              <w:pStyle w:val="a7"/>
              <w:ind w:left="480" w:hanging="480"/>
              <w:jc w:val="both"/>
            </w:pPr>
            <w:r>
              <w:t>二、兼顧各類醫事人員專業有別及跨領域團隊間合作之必要性，又各類醫事人員依各該醫事人員法律規定設立醫事機構者應負其專業領域上督導之責，爰參考聯合診所管</w:t>
            </w:r>
            <w:r>
              <w:lastRenderedPageBreak/>
              <w:t>理辦法之規定，使聽力所得與其他醫事機構聯合設置於同一場所，以達到提供各類醫事人員共同服務之目的。</w:t>
            </w:r>
          </w:p>
          <w:p w:rsidR="00042BCF" w:rsidRDefault="00B520FA">
            <w:pPr>
              <w:pStyle w:val="a7"/>
              <w:ind w:left="480" w:hanging="480"/>
              <w:jc w:val="both"/>
            </w:pPr>
            <w:r>
              <w:t>三、明定聯合設置之相關規定。</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ind w:left="480" w:hanging="480"/>
              <w:jc w:val="both"/>
            </w:pPr>
          </w:p>
        </w:tc>
      </w:tr>
      <w:tr w:rsidR="00042BCF">
        <w:tblPrEx>
          <w:tblCellMar>
            <w:top w:w="0" w:type="dxa"/>
            <w:bottom w:w="0" w:type="dxa"/>
          </w:tblCellMar>
        </w:tblPrEx>
        <w:tc>
          <w:tcPr>
            <w:tcW w:w="35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lastRenderedPageBreak/>
              <w:t>第六條　前條聽力所，應檢具契約書報直轄市或縣（市）主管機關備查。</w:t>
            </w:r>
          </w:p>
          <w:p w:rsidR="00042BCF" w:rsidRDefault="00B520FA">
            <w:pPr>
              <w:pStyle w:val="a8"/>
              <w:ind w:firstLine="498"/>
            </w:pPr>
            <w:r>
              <w:t>前項契約書，應載明下列事項：</w:t>
            </w:r>
          </w:p>
          <w:p w:rsidR="00042BCF" w:rsidRDefault="00B520FA">
            <w:pPr>
              <w:pStyle w:val="a8"/>
              <w:ind w:left="720" w:hanging="480"/>
            </w:pPr>
            <w:r>
              <w:t xml:space="preserve">一、聽力所與其他醫事機構之名稱。　</w:t>
            </w:r>
          </w:p>
          <w:p w:rsidR="00042BCF" w:rsidRDefault="00B520FA">
            <w:pPr>
              <w:pStyle w:val="a8"/>
              <w:ind w:left="720" w:hanging="480"/>
            </w:pPr>
            <w:r>
              <w:t>二、使用共同設施、設備之項目、配置簡圖、管理方式及管理責任。</w:t>
            </w:r>
          </w:p>
          <w:p w:rsidR="00042BCF" w:rsidRDefault="00B520FA">
            <w:pPr>
              <w:pStyle w:val="a8"/>
              <w:ind w:left="720" w:hanging="480"/>
            </w:pPr>
            <w:r>
              <w:t xml:space="preserve">三、聽力所與其他醫事機構之配置簡圖。　</w:t>
            </w:r>
          </w:p>
        </w:tc>
        <w:tc>
          <w:tcPr>
            <w:tcW w:w="35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042BCF">
            <w:pPr>
              <w:pStyle w:val="a7"/>
              <w:ind w:left="480" w:hanging="480"/>
              <w:jc w:val="both"/>
            </w:pPr>
          </w:p>
        </w:tc>
        <w:tc>
          <w:tcPr>
            <w:tcW w:w="350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ind w:left="482" w:hanging="482"/>
              <w:jc w:val="both"/>
            </w:pPr>
            <w:r>
              <w:t>一、</w:t>
            </w:r>
            <w:r>
              <w:tab/>
            </w:r>
            <w:r>
              <w:t>本條新增。</w:t>
            </w:r>
          </w:p>
          <w:p w:rsidR="00042BCF" w:rsidRDefault="00B520FA">
            <w:pPr>
              <w:pStyle w:val="a7"/>
              <w:ind w:left="482" w:hanging="482"/>
              <w:jc w:val="both"/>
            </w:pPr>
            <w:r>
              <w:t>二、</w:t>
            </w:r>
            <w:r>
              <w:tab/>
            </w:r>
            <w:r>
              <w:t>明定聽力所與其他醫事機構聯合設置應約定事項。</w:t>
            </w:r>
          </w:p>
        </w:tc>
        <w:tc>
          <w:tcPr>
            <w:tcW w:w="3508"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ind w:left="482" w:hanging="482"/>
              <w:jc w:val="both"/>
            </w:pPr>
          </w:p>
        </w:tc>
      </w:tr>
      <w:tr w:rsidR="00042BCF">
        <w:tblPrEx>
          <w:tblCellMar>
            <w:top w:w="0" w:type="dxa"/>
            <w:bottom w:w="0" w:type="dxa"/>
          </w:tblCellMar>
        </w:tblPrEx>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第七條　依前二條設置之聽力所，與其他醫事機構有異動</w:t>
            </w:r>
            <w:r>
              <w:lastRenderedPageBreak/>
              <w:t>或其共同設施、設備有變更時，應修正契約書後，依前條規定辦理。</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042BCF">
            <w:pPr>
              <w:pStyle w:val="a7"/>
              <w:jc w:val="both"/>
            </w:pP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ind w:left="482" w:hanging="482"/>
              <w:jc w:val="both"/>
            </w:pPr>
            <w:r>
              <w:t>一、</w:t>
            </w:r>
            <w:r>
              <w:tab/>
            </w:r>
            <w:r>
              <w:t>本條新增。</w:t>
            </w:r>
          </w:p>
          <w:p w:rsidR="00042BCF" w:rsidRDefault="00B520FA">
            <w:pPr>
              <w:pStyle w:val="a7"/>
              <w:ind w:left="482" w:hanging="482"/>
              <w:jc w:val="both"/>
            </w:pPr>
            <w:r>
              <w:t>二、</w:t>
            </w:r>
            <w:r>
              <w:tab/>
            </w:r>
            <w:r>
              <w:t>明定聽力所與其他醫事機構</w:t>
            </w:r>
            <w:r>
              <w:lastRenderedPageBreak/>
              <w:t>聯合設置後，任一機構異動之處理方式。</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ind w:left="482" w:hanging="482"/>
              <w:jc w:val="both"/>
            </w:pPr>
          </w:p>
        </w:tc>
      </w:tr>
      <w:tr w:rsidR="00042BCF">
        <w:tblPrEx>
          <w:tblCellMar>
            <w:top w:w="0" w:type="dxa"/>
            <w:bottom w:w="0" w:type="dxa"/>
          </w:tblCellMar>
        </w:tblPrEx>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lastRenderedPageBreak/>
              <w:t>第八條　聽力所於本標準中華民國ｏ年ｏ月ｏ日修正施行前，設置聽力以外之其他醫事部門者，應自本標準修正施行之日起一年內，依第五條至第七條規定辦理，並向所在地直轄市或縣（市）主管機關申請變更登記。</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042BCF">
            <w:pPr>
              <w:pStyle w:val="a7"/>
              <w:jc w:val="both"/>
            </w:pP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ind w:left="482" w:hanging="482"/>
              <w:jc w:val="both"/>
            </w:pPr>
            <w:r>
              <w:t>一、</w:t>
            </w:r>
            <w:r>
              <w:tab/>
            </w:r>
            <w:r>
              <w:t>本條新增。</w:t>
            </w:r>
          </w:p>
          <w:p w:rsidR="00042BCF" w:rsidRDefault="00B520FA">
            <w:pPr>
              <w:pStyle w:val="a7"/>
              <w:ind w:left="482" w:hanging="482"/>
              <w:jc w:val="both"/>
            </w:pPr>
            <w:r>
              <w:t>二、</w:t>
            </w:r>
            <w:r>
              <w:tab/>
            </w:r>
            <w:r>
              <w:t>明定聽力所已附設語言治療部門或其他醫事部門者，於過渡期間後依修正之規定辦理。</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ind w:left="482" w:hanging="482"/>
              <w:jc w:val="both"/>
            </w:pPr>
          </w:p>
        </w:tc>
      </w:tr>
      <w:tr w:rsidR="00042BCF">
        <w:tblPrEx>
          <w:tblCellMar>
            <w:top w:w="0" w:type="dxa"/>
            <w:bottom w:w="0" w:type="dxa"/>
          </w:tblCellMar>
        </w:tblPrEx>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第九條　本標準自中華民國九十九年十二月二十九日施行。</w:t>
            </w:r>
          </w:p>
          <w:p w:rsidR="00042BCF" w:rsidRDefault="00B520FA">
            <w:pPr>
              <w:pStyle w:val="a8"/>
              <w:ind w:firstLine="498"/>
            </w:pPr>
            <w:r>
              <w:t>本標準修正條文，自發布日施行。</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2BCF" w:rsidRDefault="00B520FA">
            <w:pPr>
              <w:pStyle w:val="a8"/>
            </w:pPr>
            <w:r>
              <w:t>第五條　本標準自發布日施行。</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B520FA">
            <w:pPr>
              <w:pStyle w:val="a7"/>
              <w:jc w:val="both"/>
            </w:pPr>
            <w:r>
              <w:t>條次變更</w:t>
            </w:r>
          </w:p>
        </w:tc>
        <w:tc>
          <w:tcPr>
            <w:tcW w:w="3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2BCF" w:rsidRDefault="00042BCF">
            <w:pPr>
              <w:pStyle w:val="a7"/>
              <w:jc w:val="both"/>
            </w:pPr>
          </w:p>
        </w:tc>
      </w:tr>
    </w:tbl>
    <w:p w:rsidR="00042BCF" w:rsidRDefault="00042BCF">
      <w:pPr>
        <w:pStyle w:val="a7"/>
      </w:pPr>
    </w:p>
    <w:sectPr w:rsidR="00042BCF">
      <w:footerReference w:type="default" r:id="rId8"/>
      <w:pgSz w:w="16838" w:h="11906" w:orient="landscape"/>
      <w:pgMar w:top="1701" w:right="1418" w:bottom="1415" w:left="1418" w:header="720" w:footer="720" w:gutter="0"/>
      <w:cols w:space="720"/>
      <w:docGrid w:type="lines" w:linePitch="4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FA" w:rsidRDefault="00B520FA">
      <w:r>
        <w:separator/>
      </w:r>
    </w:p>
  </w:endnote>
  <w:endnote w:type="continuationSeparator" w:id="0">
    <w:p w:rsidR="00B520FA" w:rsidRDefault="00B5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17" w:rsidRDefault="00B520FA">
    <w:pPr>
      <w:pStyle w:val="a6"/>
      <w:jc w:val="center"/>
    </w:pPr>
    <w:r>
      <w:rPr>
        <w:lang w:val="zh-TW"/>
      </w:rPr>
      <w:fldChar w:fldCharType="begin"/>
    </w:r>
    <w:r>
      <w:rPr>
        <w:lang w:val="zh-TW"/>
      </w:rPr>
      <w:instrText xml:space="preserve"> PAGE </w:instrText>
    </w:r>
    <w:r>
      <w:rPr>
        <w:lang w:val="zh-TW"/>
      </w:rPr>
      <w:fldChar w:fldCharType="separate"/>
    </w:r>
    <w:r w:rsidR="002B16B3">
      <w:rPr>
        <w:noProof/>
        <w:lang w:val="zh-TW"/>
      </w:rPr>
      <w:t>5</w:t>
    </w:r>
    <w:r>
      <w:rPr>
        <w:lang w:val="zh-TW"/>
      </w:rPr>
      <w:fldChar w:fldCharType="end"/>
    </w:r>
  </w:p>
  <w:p w:rsidR="00CA6417" w:rsidRDefault="00B520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FA" w:rsidRDefault="00B520FA">
      <w:r>
        <w:rPr>
          <w:color w:val="000000"/>
        </w:rPr>
        <w:separator/>
      </w:r>
    </w:p>
  </w:footnote>
  <w:footnote w:type="continuationSeparator" w:id="0">
    <w:p w:rsidR="00B520FA" w:rsidRDefault="00B52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07B"/>
    <w:multiLevelType w:val="multilevel"/>
    <w:tmpl w:val="085E5784"/>
    <w:styleLink w:val="WWNum9"/>
    <w:lvl w:ilvl="0">
      <w:start w:val="1"/>
      <w:numFmt w:val="japaneseCounting"/>
      <w:lvlText w:val="%1、"/>
      <w:lvlJc w:val="left"/>
      <w:pPr>
        <w:ind w:left="840" w:hanging="420"/>
      </w:pPr>
    </w:lvl>
    <w:lvl w:ilvl="1">
      <w:start w:val="1"/>
      <w:numFmt w:val="ideographTraditional"/>
      <w:lvlText w:val="%1.%2、"/>
      <w:lvlJc w:val="left"/>
      <w:pPr>
        <w:ind w:left="1380" w:hanging="480"/>
      </w:pPr>
    </w:lvl>
    <w:lvl w:ilvl="2">
      <w:start w:val="1"/>
      <w:numFmt w:val="lowerRoman"/>
      <w:lvlText w:val="%1.%2.%3."/>
      <w:lvlJc w:val="right"/>
      <w:pPr>
        <w:ind w:left="1860" w:hanging="480"/>
      </w:pPr>
    </w:lvl>
    <w:lvl w:ilvl="3">
      <w:start w:val="1"/>
      <w:numFmt w:val="decimal"/>
      <w:lvlText w:val="%1.%2.%3.%4."/>
      <w:lvlJc w:val="left"/>
      <w:pPr>
        <w:ind w:left="2340" w:hanging="480"/>
      </w:pPr>
    </w:lvl>
    <w:lvl w:ilvl="4">
      <w:start w:val="1"/>
      <w:numFmt w:val="ideographTraditional"/>
      <w:lvlText w:val="%1.%2.%3.%4.%5、"/>
      <w:lvlJc w:val="left"/>
      <w:pPr>
        <w:ind w:left="2820" w:hanging="480"/>
      </w:pPr>
    </w:lvl>
    <w:lvl w:ilvl="5">
      <w:start w:val="1"/>
      <w:numFmt w:val="lowerRoman"/>
      <w:lvlText w:val="%1.%2.%3.%4.%5.%6."/>
      <w:lvlJc w:val="right"/>
      <w:pPr>
        <w:ind w:left="3300" w:hanging="480"/>
      </w:pPr>
    </w:lvl>
    <w:lvl w:ilvl="6">
      <w:start w:val="1"/>
      <w:numFmt w:val="decimal"/>
      <w:lvlText w:val="%1.%2.%3.%4.%5.%6.%7."/>
      <w:lvlJc w:val="left"/>
      <w:pPr>
        <w:ind w:left="3780" w:hanging="480"/>
      </w:pPr>
    </w:lvl>
    <w:lvl w:ilvl="7">
      <w:start w:val="1"/>
      <w:numFmt w:val="ideographTraditional"/>
      <w:lvlText w:val="%1.%2.%3.%4.%5.%6.%7.%8、"/>
      <w:lvlJc w:val="left"/>
      <w:pPr>
        <w:ind w:left="4260" w:hanging="480"/>
      </w:pPr>
    </w:lvl>
    <w:lvl w:ilvl="8">
      <w:start w:val="1"/>
      <w:numFmt w:val="lowerRoman"/>
      <w:lvlText w:val="%1.%2.%3.%4.%5.%6.%7.%8.%9."/>
      <w:lvlJc w:val="right"/>
      <w:pPr>
        <w:ind w:left="4740" w:hanging="480"/>
      </w:pPr>
    </w:lvl>
  </w:abstractNum>
  <w:abstractNum w:abstractNumId="1">
    <w:nsid w:val="03BE499C"/>
    <w:multiLevelType w:val="multilevel"/>
    <w:tmpl w:val="4DAC4F2A"/>
    <w:styleLink w:val="WWNum11"/>
    <w:lvl w:ilvl="0">
      <w:start w:val="1"/>
      <w:numFmt w:val="japaneseCounting"/>
      <w:lvlText w:val="%1、"/>
      <w:lvlJc w:val="left"/>
      <w:pPr>
        <w:ind w:left="420" w:hanging="4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nsid w:val="0A54629D"/>
    <w:multiLevelType w:val="multilevel"/>
    <w:tmpl w:val="E83A8058"/>
    <w:styleLink w:val="WWNum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nsid w:val="0D3448E5"/>
    <w:multiLevelType w:val="multilevel"/>
    <w:tmpl w:val="934E8884"/>
    <w:styleLink w:val="WWNum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nsid w:val="119F28B1"/>
    <w:multiLevelType w:val="multilevel"/>
    <w:tmpl w:val="803E68B6"/>
    <w:styleLink w:val="WW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nsid w:val="17E571F3"/>
    <w:multiLevelType w:val="multilevel"/>
    <w:tmpl w:val="6D804D90"/>
    <w:styleLink w:val="WWNum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nsid w:val="273F62F0"/>
    <w:multiLevelType w:val="multilevel"/>
    <w:tmpl w:val="A5D6B65E"/>
    <w:styleLink w:val="WW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nsid w:val="2FB72DF7"/>
    <w:multiLevelType w:val="multilevel"/>
    <w:tmpl w:val="1BC6E42A"/>
    <w:styleLink w:val="WWNum12"/>
    <w:lvl w:ilvl="0">
      <w:start w:val="1"/>
      <w:numFmt w:val="japaneseCounting"/>
      <w:lvlText w:val="%1、"/>
      <w:lvlJc w:val="left"/>
      <w:pPr>
        <w:ind w:left="480" w:hanging="4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nsid w:val="33C42CBB"/>
    <w:multiLevelType w:val="multilevel"/>
    <w:tmpl w:val="718450E4"/>
    <w:styleLink w:val="WWNum2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nsid w:val="34CA6A7D"/>
    <w:multiLevelType w:val="multilevel"/>
    <w:tmpl w:val="2550DBA4"/>
    <w:styleLink w:val="WWNum1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nsid w:val="3D564127"/>
    <w:multiLevelType w:val="multilevel"/>
    <w:tmpl w:val="724651EA"/>
    <w:styleLink w:val="WW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nsid w:val="41DE19C5"/>
    <w:multiLevelType w:val="multilevel"/>
    <w:tmpl w:val="B3D44510"/>
    <w:styleLink w:val="WWNum2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nsid w:val="465852CB"/>
    <w:multiLevelType w:val="multilevel"/>
    <w:tmpl w:val="0ABE9E40"/>
    <w:styleLink w:val="WWNum1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nsid w:val="46EE533F"/>
    <w:multiLevelType w:val="multilevel"/>
    <w:tmpl w:val="D2D01914"/>
    <w:styleLink w:val="WWNum2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nsid w:val="4C007210"/>
    <w:multiLevelType w:val="multilevel"/>
    <w:tmpl w:val="50F8B1B8"/>
    <w:styleLink w:val="WWNum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nsid w:val="522F0C9B"/>
    <w:multiLevelType w:val="multilevel"/>
    <w:tmpl w:val="6D640FC6"/>
    <w:styleLink w:val="WWNum2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nsid w:val="532611B0"/>
    <w:multiLevelType w:val="multilevel"/>
    <w:tmpl w:val="86668A28"/>
    <w:styleLink w:val="WWNum1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nsid w:val="55FB50A9"/>
    <w:multiLevelType w:val="multilevel"/>
    <w:tmpl w:val="6A14F198"/>
    <w:styleLink w:val="WW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nsid w:val="5E2C06E1"/>
    <w:multiLevelType w:val="multilevel"/>
    <w:tmpl w:val="05F4BCD2"/>
    <w:styleLink w:val="WWNum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nsid w:val="671270EE"/>
    <w:multiLevelType w:val="multilevel"/>
    <w:tmpl w:val="360CB526"/>
    <w:styleLink w:val="WWNum2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nsid w:val="68374D02"/>
    <w:multiLevelType w:val="multilevel"/>
    <w:tmpl w:val="14B6C8CC"/>
    <w:styleLink w:val="WWNum28"/>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nsid w:val="68CC38FE"/>
    <w:multiLevelType w:val="multilevel"/>
    <w:tmpl w:val="6B2045E8"/>
    <w:styleLink w:val="WWNum1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nsid w:val="6AEA59BB"/>
    <w:multiLevelType w:val="multilevel"/>
    <w:tmpl w:val="2464908C"/>
    <w:styleLink w:val="WWNum2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nsid w:val="6E063507"/>
    <w:multiLevelType w:val="multilevel"/>
    <w:tmpl w:val="2FE862A0"/>
    <w:styleLink w:val="WWNum8"/>
    <w:lvl w:ilvl="0">
      <w:start w:val="1"/>
      <w:numFmt w:val="japaneseCounting"/>
      <w:lvlText w:val="%1、"/>
      <w:lvlJc w:val="left"/>
      <w:pPr>
        <w:ind w:left="420" w:hanging="4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nsid w:val="71DC4F11"/>
    <w:multiLevelType w:val="multilevel"/>
    <w:tmpl w:val="252C4BC4"/>
    <w:styleLink w:val="WWNum10"/>
    <w:lvl w:ilvl="0">
      <w:start w:val="1"/>
      <w:numFmt w:val="japaneseCounting"/>
      <w:lvlText w:val="%1、"/>
      <w:lvlJc w:val="left"/>
      <w:pPr>
        <w:ind w:left="1290" w:hanging="450"/>
      </w:pPr>
    </w:lvl>
    <w:lvl w:ilvl="1">
      <w:start w:val="1"/>
      <w:numFmt w:val="ideographTraditional"/>
      <w:lvlText w:val="%1.%2、"/>
      <w:lvlJc w:val="left"/>
      <w:pPr>
        <w:ind w:left="1800" w:hanging="480"/>
      </w:pPr>
    </w:lvl>
    <w:lvl w:ilvl="2">
      <w:start w:val="1"/>
      <w:numFmt w:val="lowerRoman"/>
      <w:lvlText w:val="%1.%2.%3."/>
      <w:lvlJc w:val="right"/>
      <w:pPr>
        <w:ind w:left="2280" w:hanging="480"/>
      </w:pPr>
    </w:lvl>
    <w:lvl w:ilvl="3">
      <w:start w:val="1"/>
      <w:numFmt w:val="decimal"/>
      <w:lvlText w:val="%1.%2.%3.%4."/>
      <w:lvlJc w:val="left"/>
      <w:pPr>
        <w:ind w:left="2760" w:hanging="480"/>
      </w:pPr>
    </w:lvl>
    <w:lvl w:ilvl="4">
      <w:start w:val="1"/>
      <w:numFmt w:val="ideographTraditional"/>
      <w:lvlText w:val="%1.%2.%3.%4.%5、"/>
      <w:lvlJc w:val="left"/>
      <w:pPr>
        <w:ind w:left="3240" w:hanging="480"/>
      </w:pPr>
    </w:lvl>
    <w:lvl w:ilvl="5">
      <w:start w:val="1"/>
      <w:numFmt w:val="lowerRoman"/>
      <w:lvlText w:val="%1.%2.%3.%4.%5.%6."/>
      <w:lvlJc w:val="right"/>
      <w:pPr>
        <w:ind w:left="3720" w:hanging="480"/>
      </w:pPr>
    </w:lvl>
    <w:lvl w:ilvl="6">
      <w:start w:val="1"/>
      <w:numFmt w:val="decimal"/>
      <w:lvlText w:val="%1.%2.%3.%4.%5.%6.%7."/>
      <w:lvlJc w:val="left"/>
      <w:pPr>
        <w:ind w:left="4200" w:hanging="480"/>
      </w:pPr>
    </w:lvl>
    <w:lvl w:ilvl="7">
      <w:start w:val="1"/>
      <w:numFmt w:val="ideographTraditional"/>
      <w:lvlText w:val="%1.%2.%3.%4.%5.%6.%7.%8、"/>
      <w:lvlJc w:val="left"/>
      <w:pPr>
        <w:ind w:left="4680" w:hanging="480"/>
      </w:pPr>
    </w:lvl>
    <w:lvl w:ilvl="8">
      <w:start w:val="1"/>
      <w:numFmt w:val="lowerRoman"/>
      <w:lvlText w:val="%1.%2.%3.%4.%5.%6.%7.%8.%9."/>
      <w:lvlJc w:val="right"/>
      <w:pPr>
        <w:ind w:left="5160" w:hanging="480"/>
      </w:pPr>
    </w:lvl>
  </w:abstractNum>
  <w:abstractNum w:abstractNumId="25">
    <w:nsid w:val="71F04F61"/>
    <w:multiLevelType w:val="multilevel"/>
    <w:tmpl w:val="20BE9288"/>
    <w:styleLink w:val="WWNum1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nsid w:val="77891B26"/>
    <w:multiLevelType w:val="multilevel"/>
    <w:tmpl w:val="4FDAC980"/>
    <w:styleLink w:val="WW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nsid w:val="7AE91CE9"/>
    <w:multiLevelType w:val="multilevel"/>
    <w:tmpl w:val="B9C68AC8"/>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28">
    <w:nsid w:val="7C36030E"/>
    <w:multiLevelType w:val="multilevel"/>
    <w:tmpl w:val="D6D66880"/>
    <w:styleLink w:val="WW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27"/>
  </w:num>
  <w:num w:numId="2">
    <w:abstractNumId w:val="14"/>
  </w:num>
  <w:num w:numId="3">
    <w:abstractNumId w:val="10"/>
  </w:num>
  <w:num w:numId="4">
    <w:abstractNumId w:val="2"/>
  </w:num>
  <w:num w:numId="5">
    <w:abstractNumId w:val="5"/>
  </w:num>
  <w:num w:numId="6">
    <w:abstractNumId w:val="3"/>
  </w:num>
  <w:num w:numId="7">
    <w:abstractNumId w:val="18"/>
  </w:num>
  <w:num w:numId="8">
    <w:abstractNumId w:val="6"/>
  </w:num>
  <w:num w:numId="9">
    <w:abstractNumId w:val="23"/>
  </w:num>
  <w:num w:numId="10">
    <w:abstractNumId w:val="0"/>
  </w:num>
  <w:num w:numId="11">
    <w:abstractNumId w:val="24"/>
  </w:num>
  <w:num w:numId="12">
    <w:abstractNumId w:val="1"/>
  </w:num>
  <w:num w:numId="13">
    <w:abstractNumId w:val="7"/>
  </w:num>
  <w:num w:numId="14">
    <w:abstractNumId w:val="16"/>
  </w:num>
  <w:num w:numId="15">
    <w:abstractNumId w:val="17"/>
  </w:num>
  <w:num w:numId="16">
    <w:abstractNumId w:val="25"/>
  </w:num>
  <w:num w:numId="17">
    <w:abstractNumId w:val="21"/>
  </w:num>
  <w:num w:numId="18">
    <w:abstractNumId w:val="4"/>
  </w:num>
  <w:num w:numId="19">
    <w:abstractNumId w:val="12"/>
  </w:num>
  <w:num w:numId="20">
    <w:abstractNumId w:val="9"/>
  </w:num>
  <w:num w:numId="21">
    <w:abstractNumId w:val="15"/>
  </w:num>
  <w:num w:numId="22">
    <w:abstractNumId w:val="13"/>
  </w:num>
  <w:num w:numId="23">
    <w:abstractNumId w:val="11"/>
  </w:num>
  <w:num w:numId="24">
    <w:abstractNumId w:val="22"/>
  </w:num>
  <w:num w:numId="25">
    <w:abstractNumId w:val="28"/>
  </w:num>
  <w:num w:numId="26">
    <w:abstractNumId w:val="8"/>
  </w:num>
  <w:num w:numId="27">
    <w:abstractNumId w:val="19"/>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2BCF"/>
    <w:rsid w:val="00042BCF"/>
    <w:rsid w:val="002B16B3"/>
    <w:rsid w:val="00B52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left="200" w:hanging="200"/>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353"/>
        <w:tab w:val="right" w:pos="8506"/>
      </w:tabs>
      <w:snapToGrid w:val="0"/>
    </w:pPr>
    <w:rPr>
      <w:sz w:val="20"/>
      <w:szCs w:val="20"/>
    </w:rPr>
  </w:style>
  <w:style w:type="paragraph" w:styleId="a6">
    <w:name w:val="footer"/>
    <w:basedOn w:val="Standard"/>
    <w:pPr>
      <w:tabs>
        <w:tab w:val="center" w:pos="4353"/>
        <w:tab w:val="right" w:pos="8506"/>
      </w:tabs>
      <w:snapToGrid w:val="0"/>
    </w:pPr>
    <w:rPr>
      <w:sz w:val="20"/>
      <w:szCs w:val="20"/>
    </w:rPr>
  </w:style>
  <w:style w:type="paragraph" w:customStyle="1" w:styleId="a7">
    <w:name w:val="一般內文"/>
    <w:basedOn w:val="Standard"/>
    <w:pPr>
      <w:ind w:left="0" w:firstLine="0"/>
    </w:pPr>
    <w:rPr>
      <w:rFonts w:ascii="標楷體" w:hAnsi="標楷體" w:cs="Arial Unicode MS"/>
      <w:kern w:val="0"/>
      <w:szCs w:val="28"/>
    </w:rPr>
  </w:style>
  <w:style w:type="paragraph" w:customStyle="1" w:styleId="a8">
    <w:name w:val="條次"/>
    <w:basedOn w:val="Standard"/>
    <w:pPr>
      <w:ind w:left="240" w:hanging="240"/>
      <w:jc w:val="both"/>
    </w:pPr>
    <w:rPr>
      <w:rFonts w:ascii="標楷體" w:hAnsi="標楷體" w:cs="Arial Unicode MS"/>
      <w:kern w:val="0"/>
    </w:rPr>
  </w:style>
  <w:style w:type="paragraph" w:customStyle="1" w:styleId="a9">
    <w:name w:val="項次"/>
    <w:basedOn w:val="Standard"/>
    <w:pPr>
      <w:ind w:left="240" w:firstLine="480"/>
    </w:pPr>
    <w:rPr>
      <w:rFonts w:ascii="標楷體" w:hAnsi="標楷體" w:cs="Arial Unicode MS"/>
      <w:kern w:val="0"/>
    </w:rPr>
  </w:style>
  <w:style w:type="paragraph" w:customStyle="1" w:styleId="aa">
    <w:name w:val="款次"/>
    <w:basedOn w:val="a8"/>
    <w:autoRedefine/>
    <w:pPr>
      <w:ind w:left="720" w:hanging="480"/>
    </w:pPr>
  </w:style>
  <w:style w:type="paragraph" w:customStyle="1" w:styleId="ab">
    <w:name w:val="目次"/>
    <w:basedOn w:val="aa"/>
    <w:autoRedefine/>
    <w:pPr>
      <w:ind w:left="1099" w:hanging="619"/>
    </w:pPr>
  </w:style>
  <w:style w:type="paragraph" w:styleId="ac">
    <w:name w:val="Balloon Text"/>
    <w:basedOn w:val="Standard"/>
    <w:rPr>
      <w:sz w:val="18"/>
      <w:szCs w:val="18"/>
    </w:rPr>
  </w:style>
  <w:style w:type="paragraph" w:styleId="ad">
    <w:name w:val="annotation text"/>
    <w:basedOn w:val="Standard"/>
  </w:style>
  <w:style w:type="paragraph" w:styleId="ae">
    <w:name w:val="annotation subject"/>
    <w:basedOn w:val="ad"/>
    <w:next w:val="ad"/>
    <w:rPr>
      <w:b/>
      <w:bCs/>
    </w:rPr>
  </w:style>
  <w:style w:type="paragraph" w:customStyle="1" w:styleId="TableContents">
    <w:name w:val="Table Contents"/>
    <w:basedOn w:val="Standard"/>
    <w:pPr>
      <w:widowControl w:val="0"/>
      <w:suppressLineNumbers/>
    </w:p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customStyle="1" w:styleId="af1">
    <w:name w:val="一般內文 字元"/>
    <w:basedOn w:val="a0"/>
    <w:rPr>
      <w:rFonts w:ascii="標楷體" w:eastAsia="標楷體" w:hAnsi="標楷體" w:cs="Arial Unicode MS"/>
      <w:kern w:val="0"/>
      <w:szCs w:val="28"/>
    </w:rPr>
  </w:style>
  <w:style w:type="character" w:customStyle="1" w:styleId="af2">
    <w:name w:val="條次 字元"/>
    <w:basedOn w:val="a0"/>
    <w:rPr>
      <w:rFonts w:ascii="標楷體" w:eastAsia="標楷體" w:hAnsi="標楷體" w:cs="Arial Unicode MS"/>
      <w:kern w:val="0"/>
      <w:szCs w:val="24"/>
    </w:rPr>
  </w:style>
  <w:style w:type="character" w:customStyle="1" w:styleId="af3">
    <w:name w:val="款次 字元"/>
    <w:basedOn w:val="af2"/>
    <w:rPr>
      <w:rFonts w:ascii="標楷體" w:eastAsia="標楷體" w:hAnsi="標楷體" w:cs="Arial Unicode MS"/>
      <w:kern w:val="0"/>
      <w:szCs w:val="24"/>
    </w:rPr>
  </w:style>
  <w:style w:type="character" w:customStyle="1" w:styleId="af4">
    <w:name w:val="目次 字元"/>
    <w:basedOn w:val="af3"/>
    <w:rPr>
      <w:rFonts w:ascii="標楷體" w:eastAsia="標楷體" w:hAnsi="標楷體" w:cs="Arial Unicode MS"/>
      <w:color w:val="FF0000"/>
      <w:kern w:val="0"/>
      <w:szCs w:val="24"/>
    </w:rPr>
  </w:style>
  <w:style w:type="character" w:customStyle="1" w:styleId="af5">
    <w:name w:val="註解方塊文字 字元"/>
    <w:basedOn w:val="a0"/>
    <w:rPr>
      <w:rFonts w:ascii="Times New Roman" w:eastAsia="標楷體" w:hAnsi="Times New Roman" w:cs="Tahoma"/>
      <w:sz w:val="18"/>
      <w:szCs w:val="18"/>
    </w:rPr>
  </w:style>
  <w:style w:type="character" w:styleId="af6">
    <w:name w:val="annotation reference"/>
    <w:basedOn w:val="a0"/>
    <w:rPr>
      <w:sz w:val="18"/>
      <w:szCs w:val="18"/>
    </w:rPr>
  </w:style>
  <w:style w:type="character" w:customStyle="1" w:styleId="af7">
    <w:name w:val="註解文字 字元"/>
    <w:basedOn w:val="a0"/>
    <w:rPr>
      <w:szCs w:val="24"/>
    </w:rPr>
  </w:style>
  <w:style w:type="character" w:customStyle="1" w:styleId="af8">
    <w:name w:val="註解主旨 字元"/>
    <w:basedOn w:val="af7"/>
    <w:rPr>
      <w:b/>
      <w:bCs/>
      <w:szCs w:val="24"/>
    </w:rPr>
  </w:style>
  <w:style w:type="character" w:customStyle="1" w:styleId="Internetlink">
    <w:name w:val="Internet link"/>
    <w:basedOn w:val="a0"/>
    <w:rPr>
      <w:color w:val="0563C1"/>
      <w:u w:val="single"/>
    </w:rPr>
  </w:style>
  <w:style w:type="character" w:customStyle="1" w:styleId="ListLabel1">
    <w:name w:val="ListLabel 1"/>
    <w:rPr>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left="200" w:hanging="200"/>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353"/>
        <w:tab w:val="right" w:pos="8506"/>
      </w:tabs>
      <w:snapToGrid w:val="0"/>
    </w:pPr>
    <w:rPr>
      <w:sz w:val="20"/>
      <w:szCs w:val="20"/>
    </w:rPr>
  </w:style>
  <w:style w:type="paragraph" w:styleId="a6">
    <w:name w:val="footer"/>
    <w:basedOn w:val="Standard"/>
    <w:pPr>
      <w:tabs>
        <w:tab w:val="center" w:pos="4353"/>
        <w:tab w:val="right" w:pos="8506"/>
      </w:tabs>
      <w:snapToGrid w:val="0"/>
    </w:pPr>
    <w:rPr>
      <w:sz w:val="20"/>
      <w:szCs w:val="20"/>
    </w:rPr>
  </w:style>
  <w:style w:type="paragraph" w:customStyle="1" w:styleId="a7">
    <w:name w:val="一般內文"/>
    <w:basedOn w:val="Standard"/>
    <w:pPr>
      <w:ind w:left="0" w:firstLine="0"/>
    </w:pPr>
    <w:rPr>
      <w:rFonts w:ascii="標楷體" w:hAnsi="標楷體" w:cs="Arial Unicode MS"/>
      <w:kern w:val="0"/>
      <w:szCs w:val="28"/>
    </w:rPr>
  </w:style>
  <w:style w:type="paragraph" w:customStyle="1" w:styleId="a8">
    <w:name w:val="條次"/>
    <w:basedOn w:val="Standard"/>
    <w:pPr>
      <w:ind w:left="240" w:hanging="240"/>
      <w:jc w:val="both"/>
    </w:pPr>
    <w:rPr>
      <w:rFonts w:ascii="標楷體" w:hAnsi="標楷體" w:cs="Arial Unicode MS"/>
      <w:kern w:val="0"/>
    </w:rPr>
  </w:style>
  <w:style w:type="paragraph" w:customStyle="1" w:styleId="a9">
    <w:name w:val="項次"/>
    <w:basedOn w:val="Standard"/>
    <w:pPr>
      <w:ind w:left="240" w:firstLine="480"/>
    </w:pPr>
    <w:rPr>
      <w:rFonts w:ascii="標楷體" w:hAnsi="標楷體" w:cs="Arial Unicode MS"/>
      <w:kern w:val="0"/>
    </w:rPr>
  </w:style>
  <w:style w:type="paragraph" w:customStyle="1" w:styleId="aa">
    <w:name w:val="款次"/>
    <w:basedOn w:val="a8"/>
    <w:autoRedefine/>
    <w:pPr>
      <w:ind w:left="720" w:hanging="480"/>
    </w:pPr>
  </w:style>
  <w:style w:type="paragraph" w:customStyle="1" w:styleId="ab">
    <w:name w:val="目次"/>
    <w:basedOn w:val="aa"/>
    <w:autoRedefine/>
    <w:pPr>
      <w:ind w:left="1099" w:hanging="619"/>
    </w:pPr>
  </w:style>
  <w:style w:type="paragraph" w:styleId="ac">
    <w:name w:val="Balloon Text"/>
    <w:basedOn w:val="Standard"/>
    <w:rPr>
      <w:sz w:val="18"/>
      <w:szCs w:val="18"/>
    </w:rPr>
  </w:style>
  <w:style w:type="paragraph" w:styleId="ad">
    <w:name w:val="annotation text"/>
    <w:basedOn w:val="Standard"/>
  </w:style>
  <w:style w:type="paragraph" w:styleId="ae">
    <w:name w:val="annotation subject"/>
    <w:basedOn w:val="ad"/>
    <w:next w:val="ad"/>
    <w:rPr>
      <w:b/>
      <w:bCs/>
    </w:rPr>
  </w:style>
  <w:style w:type="paragraph" w:customStyle="1" w:styleId="TableContents">
    <w:name w:val="Table Contents"/>
    <w:basedOn w:val="Standard"/>
    <w:pPr>
      <w:widowControl w:val="0"/>
      <w:suppressLineNumbers/>
    </w:p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customStyle="1" w:styleId="af1">
    <w:name w:val="一般內文 字元"/>
    <w:basedOn w:val="a0"/>
    <w:rPr>
      <w:rFonts w:ascii="標楷體" w:eastAsia="標楷體" w:hAnsi="標楷體" w:cs="Arial Unicode MS"/>
      <w:kern w:val="0"/>
      <w:szCs w:val="28"/>
    </w:rPr>
  </w:style>
  <w:style w:type="character" w:customStyle="1" w:styleId="af2">
    <w:name w:val="條次 字元"/>
    <w:basedOn w:val="a0"/>
    <w:rPr>
      <w:rFonts w:ascii="標楷體" w:eastAsia="標楷體" w:hAnsi="標楷體" w:cs="Arial Unicode MS"/>
      <w:kern w:val="0"/>
      <w:szCs w:val="24"/>
    </w:rPr>
  </w:style>
  <w:style w:type="character" w:customStyle="1" w:styleId="af3">
    <w:name w:val="款次 字元"/>
    <w:basedOn w:val="af2"/>
    <w:rPr>
      <w:rFonts w:ascii="標楷體" w:eastAsia="標楷體" w:hAnsi="標楷體" w:cs="Arial Unicode MS"/>
      <w:kern w:val="0"/>
      <w:szCs w:val="24"/>
    </w:rPr>
  </w:style>
  <w:style w:type="character" w:customStyle="1" w:styleId="af4">
    <w:name w:val="目次 字元"/>
    <w:basedOn w:val="af3"/>
    <w:rPr>
      <w:rFonts w:ascii="標楷體" w:eastAsia="標楷體" w:hAnsi="標楷體" w:cs="Arial Unicode MS"/>
      <w:color w:val="FF0000"/>
      <w:kern w:val="0"/>
      <w:szCs w:val="24"/>
    </w:rPr>
  </w:style>
  <w:style w:type="character" w:customStyle="1" w:styleId="af5">
    <w:name w:val="註解方塊文字 字元"/>
    <w:basedOn w:val="a0"/>
    <w:rPr>
      <w:rFonts w:ascii="Times New Roman" w:eastAsia="標楷體" w:hAnsi="Times New Roman" w:cs="Tahoma"/>
      <w:sz w:val="18"/>
      <w:szCs w:val="18"/>
    </w:rPr>
  </w:style>
  <w:style w:type="character" w:styleId="af6">
    <w:name w:val="annotation reference"/>
    <w:basedOn w:val="a0"/>
    <w:rPr>
      <w:sz w:val="18"/>
      <w:szCs w:val="18"/>
    </w:rPr>
  </w:style>
  <w:style w:type="character" w:customStyle="1" w:styleId="af7">
    <w:name w:val="註解文字 字元"/>
    <w:basedOn w:val="a0"/>
    <w:rPr>
      <w:szCs w:val="24"/>
    </w:rPr>
  </w:style>
  <w:style w:type="character" w:customStyle="1" w:styleId="af8">
    <w:name w:val="註解主旨 字元"/>
    <w:basedOn w:val="af7"/>
    <w:rPr>
      <w:b/>
      <w:bCs/>
      <w:szCs w:val="24"/>
    </w:rPr>
  </w:style>
  <w:style w:type="character" w:customStyle="1" w:styleId="Internetlink">
    <w:name w:val="Internet link"/>
    <w:basedOn w:val="a0"/>
    <w:rPr>
      <w:color w:val="0563C1"/>
      <w:u w:val="single"/>
    </w:rPr>
  </w:style>
  <w:style w:type="character" w:customStyle="1" w:styleId="ListLabel1">
    <w:name w:val="ListLabel 1"/>
    <w:rPr>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醫事司呂念慈</dc:creator>
  <cp:lastModifiedBy>genius</cp:lastModifiedBy>
  <cp:revision>2</cp:revision>
  <cp:lastPrinted>2024-04-10T02:07:00Z</cp:lastPrinted>
  <dcterms:created xsi:type="dcterms:W3CDTF">2024-12-18T06:44:00Z</dcterms:created>
  <dcterms:modified xsi:type="dcterms:W3CDTF">2024-12-18T06:44:00Z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